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29" w:type="dxa"/>
        <w:tblInd w:w="-11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55"/>
        <w:gridCol w:w="9574"/>
      </w:tblGrid>
      <w:tr w:rsidR="002645BE" w:rsidRPr="00D2056F" w14:paraId="528C8251" w14:textId="77777777" w:rsidTr="009805FD">
        <w:trPr>
          <w:trHeight w:val="1205"/>
        </w:trPr>
        <w:tc>
          <w:tcPr>
            <w:tcW w:w="11029" w:type="dxa"/>
            <w:gridSpan w:val="2"/>
            <w:shd w:val="clear" w:color="auto" w:fill="001E5A"/>
          </w:tcPr>
          <w:p w14:paraId="02DC7B09" w14:textId="7DE43FE4" w:rsidR="002645BE" w:rsidRPr="00D2056F" w:rsidRDefault="004635A5" w:rsidP="004635A5">
            <w:pPr>
              <w:spacing w:after="0" w:line="240" w:lineRule="auto"/>
              <w:jc w:val="right"/>
              <w:rPr>
                <w:rFonts w:asciiTheme="minorHAnsi" w:eastAsiaTheme="minorHAnsi" w:hAnsiTheme="minorHAnsi" w:cs="Shruti"/>
                <w:b/>
                <w:sz w:val="20"/>
                <w:szCs w:val="22"/>
                <w:lang w:val="en-GB"/>
              </w:rPr>
            </w:pPr>
            <w:r>
              <w:rPr>
                <w:noProof/>
              </w:rPr>
              <w:drawing>
                <wp:anchor distT="0" distB="0" distL="114300" distR="114300" simplePos="0" relativeHeight="251658240" behindDoc="0" locked="0" layoutInCell="1" allowOverlap="1" wp14:anchorId="49B74991" wp14:editId="58EEC7C5">
                  <wp:simplePos x="0" y="0"/>
                  <wp:positionH relativeFrom="column">
                    <wp:posOffset>4530725</wp:posOffset>
                  </wp:positionH>
                  <wp:positionV relativeFrom="paragraph">
                    <wp:posOffset>123190</wp:posOffset>
                  </wp:positionV>
                  <wp:extent cx="2286000" cy="5041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68CCFA" w14:textId="6CD33B00" w:rsidR="002645BE" w:rsidRPr="00BD16D8" w:rsidRDefault="00000000" w:rsidP="00BD16D8">
            <w:pPr>
              <w:spacing w:after="0"/>
              <w:rPr>
                <w:rFonts w:asciiTheme="minorHAnsi" w:eastAsiaTheme="minorHAnsi" w:hAnsiTheme="minorHAnsi" w:cs="Shruti"/>
                <w:b/>
                <w:sz w:val="22"/>
                <w:szCs w:val="22"/>
                <w:lang w:val="en-GB"/>
              </w:rPr>
            </w:pPr>
            <w:r w:rsidRPr="00D2056F">
              <w:rPr>
                <w:rFonts w:asciiTheme="minorHAnsi" w:eastAsiaTheme="minorHAnsi" w:hAnsiTheme="minorHAnsi" w:cs="Shruti"/>
                <w:b/>
                <w:sz w:val="32"/>
                <w:szCs w:val="22"/>
                <w:lang w:val="en-GB"/>
              </w:rPr>
              <w:t>Secure Trust Bank</w:t>
            </w:r>
            <w:r>
              <w:rPr>
                <w:rFonts w:asciiTheme="minorHAnsi" w:eastAsiaTheme="minorHAnsi" w:hAnsiTheme="minorHAnsi" w:cs="Shruti"/>
                <w:b/>
                <w:sz w:val="32"/>
                <w:szCs w:val="22"/>
                <w:lang w:val="en-GB"/>
              </w:rPr>
              <w:t xml:space="preserve">                                                                             </w:t>
            </w:r>
            <w:r w:rsidRPr="00D2056F">
              <w:rPr>
                <w:rFonts w:asciiTheme="minorHAnsi" w:eastAsiaTheme="minorHAnsi" w:hAnsiTheme="minorHAnsi" w:cs="Shruti"/>
                <w:b/>
                <w:sz w:val="32"/>
                <w:szCs w:val="22"/>
                <w:lang w:val="en-GB"/>
              </w:rPr>
              <w:br/>
            </w:r>
            <w:r w:rsidR="00BD16D8" w:rsidRPr="00BD16D8">
              <w:rPr>
                <w:b/>
                <w:bCs/>
                <w:color w:val="FFFFFF"/>
                <w:sz w:val="32"/>
                <w:szCs w:val="32"/>
              </w:rPr>
              <w:t>Senior Manager, Recoveries - Real Estate Finance</w:t>
            </w:r>
          </w:p>
        </w:tc>
      </w:tr>
      <w:tr w:rsidR="002645BE" w:rsidRPr="00D2056F" w14:paraId="3BFB6DDE" w14:textId="77777777" w:rsidTr="009805FD">
        <w:trPr>
          <w:trHeight w:val="1431"/>
        </w:trPr>
        <w:tc>
          <w:tcPr>
            <w:tcW w:w="11029" w:type="dxa"/>
            <w:gridSpan w:val="2"/>
          </w:tcPr>
          <w:p w14:paraId="589F34EF" w14:textId="77777777" w:rsidR="000A3866" w:rsidRPr="00BB00E5" w:rsidRDefault="00000000">
            <w:pPr>
              <w:spacing w:before="60" w:after="60"/>
              <w:rPr>
                <w:rFonts w:asciiTheme="minorHAnsi" w:hAnsiTheme="minorHAnsi" w:cs="Shruti"/>
              </w:rPr>
            </w:pPr>
            <w:r>
              <w:rPr>
                <w:rFonts w:asciiTheme="minorHAnsi" w:eastAsiaTheme="minorHAnsi" w:hAnsiTheme="minorHAnsi" w:cs="Shruti"/>
                <w:b/>
                <w:sz w:val="22"/>
                <w:szCs w:val="22"/>
                <w:lang w:val="en-GB"/>
              </w:rPr>
              <w:t xml:space="preserve">Department: </w:t>
            </w:r>
            <w:r w:rsidR="009E075F" w:rsidRPr="009E075F">
              <w:rPr>
                <w:sz w:val="22"/>
                <w:szCs w:val="22"/>
              </w:rPr>
              <w:t>Real Estate Finance</w:t>
            </w:r>
          </w:p>
          <w:p w14:paraId="609EBA9B" w14:textId="77777777" w:rsidR="000A3866" w:rsidRPr="00BB00E5" w:rsidRDefault="00000000">
            <w:pPr>
              <w:spacing w:before="60" w:after="60"/>
              <w:rPr>
                <w:rFonts w:asciiTheme="minorHAnsi" w:hAnsiTheme="minorHAnsi" w:cs="Shruti"/>
              </w:rPr>
            </w:pPr>
            <w:r>
              <w:rPr>
                <w:rFonts w:asciiTheme="minorHAnsi" w:eastAsiaTheme="minorHAnsi" w:hAnsiTheme="minorHAnsi" w:cs="Shruti"/>
                <w:b/>
                <w:sz w:val="22"/>
                <w:szCs w:val="22"/>
                <w:lang w:val="en-GB"/>
              </w:rPr>
              <w:t>Job</w:t>
            </w:r>
            <w:r w:rsidRPr="00C93A1F">
              <w:rPr>
                <w:rFonts w:asciiTheme="minorHAnsi" w:eastAsiaTheme="minorHAnsi" w:hAnsiTheme="minorHAnsi" w:cs="Shruti"/>
                <w:b/>
                <w:sz w:val="22"/>
                <w:szCs w:val="22"/>
                <w:lang w:val="en-GB"/>
              </w:rPr>
              <w:t xml:space="preserve"> Level</w:t>
            </w:r>
            <w:r w:rsidRPr="00C93A1F">
              <w:rPr>
                <w:rFonts w:asciiTheme="minorHAnsi" w:eastAsiaTheme="minorHAnsi" w:hAnsiTheme="minorHAnsi" w:cs="Shruti"/>
                <w:sz w:val="22"/>
                <w:szCs w:val="22"/>
                <w:lang w:val="en-GB"/>
              </w:rPr>
              <w:t xml:space="preserve">: </w:t>
            </w:r>
            <w:r w:rsidR="00510482" w:rsidRPr="00510482">
              <w:rPr>
                <w:sz w:val="22"/>
                <w:szCs w:val="22"/>
              </w:rPr>
              <w:t>6</w:t>
            </w:r>
          </w:p>
          <w:p w14:paraId="03E34A09" w14:textId="77777777" w:rsidR="00000000" w:rsidRDefault="005961D0">
            <w:pPr>
              <w:spacing w:before="60" w:after="60"/>
              <w:rPr>
                <w:kern w:val="2"/>
                <w14:ligatures w14:val="standardContextual"/>
              </w:rPr>
            </w:pPr>
            <w:r w:rsidRPr="005961D0">
              <w:rPr>
                <w:b/>
                <w:bCs/>
                <w:sz w:val="22"/>
                <w:szCs w:val="22"/>
              </w:rPr>
              <w:t>Reporting</w:t>
            </w:r>
            <w:r w:rsidRPr="005961D0">
              <w:rPr>
                <w:sz w:val="22"/>
                <w:szCs w:val="22"/>
              </w:rPr>
              <w:t xml:space="preserve"> </w:t>
            </w:r>
            <w:r w:rsidRPr="005961D0">
              <w:rPr>
                <w:b/>
                <w:bCs/>
                <w:sz w:val="22"/>
                <w:szCs w:val="22"/>
              </w:rPr>
              <w:t>To</w:t>
            </w:r>
            <w:r w:rsidRPr="005961D0">
              <w:rPr>
                <w:sz w:val="22"/>
                <w:szCs w:val="22"/>
              </w:rPr>
              <w:t>: Director of Recoveries, Real Estate Finance</w:t>
            </w:r>
          </w:p>
          <w:p w14:paraId="49A0E198" w14:textId="78D0276F" w:rsidR="002645BE" w:rsidRPr="00153CDF" w:rsidRDefault="00153CDF" w:rsidP="00153CDF">
            <w:pPr>
              <w:spacing w:before="60" w:after="60"/>
              <w:rPr>
                <w:rFonts w:asciiTheme="minorHAnsi" w:eastAsiaTheme="minorHAnsi" w:hAnsiTheme="minorHAnsi" w:cs="Shruti"/>
                <w:sz w:val="22"/>
                <w:szCs w:val="22"/>
                <w:lang w:val="en-GB"/>
              </w:rPr>
            </w:pPr>
            <w:r w:rsidRPr="00153CDF">
              <w:rPr>
                <w:b/>
                <w:bCs/>
                <w:sz w:val="22"/>
                <w:szCs w:val="22"/>
              </w:rPr>
              <w:t>Location</w:t>
            </w:r>
            <w:r w:rsidRPr="00153CDF">
              <w:rPr>
                <w:sz w:val="22"/>
                <w:szCs w:val="22"/>
              </w:rPr>
              <w:t>: London / Manchester</w:t>
            </w:r>
          </w:p>
        </w:tc>
      </w:tr>
      <w:tr w:rsidR="002645BE" w:rsidRPr="00BB00E5" w14:paraId="6355A4CD" w14:textId="77777777" w:rsidTr="009805FD">
        <w:trPr>
          <w:trHeight w:val="1431"/>
        </w:trPr>
        <w:tc>
          <w:tcPr>
            <w:tcW w:w="11029" w:type="dxa"/>
            <w:gridSpan w:val="2"/>
          </w:tcPr>
          <w:p w14:paraId="4BF6733D" w14:textId="77777777" w:rsidR="00A819EB" w:rsidRPr="001E6F7C" w:rsidRDefault="00A819EB" w:rsidP="00A819EB">
            <w:pPr>
              <w:spacing w:before="120" w:after="60" w:line="240" w:lineRule="auto"/>
              <w:rPr>
                <w:sz w:val="22"/>
                <w:szCs w:val="22"/>
                <w:lang w:val="en-GB" w:eastAsia="en-GB"/>
              </w:rPr>
            </w:pPr>
            <w:r w:rsidRPr="001E6F7C">
              <w:rPr>
                <w:sz w:val="22"/>
                <w:szCs w:val="22"/>
                <w:lang w:val="en-GB" w:eastAsia="en-GB"/>
              </w:rPr>
              <w:t>Secure Trust Bank Group is a UK-based specialist bank with over 70 years of experience helping consumers and businesses fulfil their ambitions. We operate through three core business areas:</w:t>
            </w:r>
          </w:p>
          <w:p w14:paraId="48AFBE8E" w14:textId="77777777" w:rsidR="00A819EB" w:rsidRPr="001E6F7C" w:rsidRDefault="00A819EB" w:rsidP="00A819EB">
            <w:pPr>
              <w:numPr>
                <w:ilvl w:val="0"/>
                <w:numId w:val="14"/>
              </w:numPr>
              <w:spacing w:before="120" w:after="60" w:line="240" w:lineRule="auto"/>
              <w:rPr>
                <w:sz w:val="22"/>
                <w:szCs w:val="22"/>
                <w:lang w:val="en-GB" w:eastAsia="en-GB"/>
              </w:rPr>
            </w:pPr>
            <w:r w:rsidRPr="001E6F7C">
              <w:rPr>
                <w:b/>
                <w:bCs/>
                <w:sz w:val="22"/>
                <w:szCs w:val="22"/>
                <w:lang w:val="en-GB" w:eastAsia="en-GB"/>
              </w:rPr>
              <w:t>Consumer Finance</w:t>
            </w:r>
            <w:r w:rsidRPr="001E6F7C">
              <w:rPr>
                <w:sz w:val="22"/>
                <w:szCs w:val="22"/>
                <w:lang w:val="en-GB" w:eastAsia="en-GB"/>
              </w:rPr>
              <w:t xml:space="preserve"> – Offering point-of-sale Retail Finance, helping customers access products and services with flexible payment options.</w:t>
            </w:r>
          </w:p>
          <w:p w14:paraId="192E2DCC" w14:textId="77777777" w:rsidR="00A819EB" w:rsidRPr="001E6F7C" w:rsidRDefault="00A819EB" w:rsidP="00A819EB">
            <w:pPr>
              <w:numPr>
                <w:ilvl w:val="0"/>
                <w:numId w:val="14"/>
              </w:numPr>
              <w:spacing w:before="120" w:after="60" w:line="240" w:lineRule="auto"/>
              <w:rPr>
                <w:sz w:val="22"/>
                <w:szCs w:val="22"/>
                <w:lang w:val="en-GB" w:eastAsia="en-GB"/>
              </w:rPr>
            </w:pPr>
            <w:r w:rsidRPr="001E6F7C">
              <w:rPr>
                <w:b/>
                <w:bCs/>
                <w:sz w:val="22"/>
                <w:szCs w:val="22"/>
                <w:lang w:val="en-GB" w:eastAsia="en-GB"/>
              </w:rPr>
              <w:t>Business Finance</w:t>
            </w:r>
            <w:r w:rsidRPr="001E6F7C">
              <w:rPr>
                <w:sz w:val="22"/>
                <w:szCs w:val="22"/>
                <w:lang w:val="en-GB" w:eastAsia="en-GB"/>
              </w:rPr>
              <w:t xml:space="preserve"> – Supporting UK SMEs and property professionals through Real Estate Finance and Commercial Finance, providing tailored lending and working capital solutions.</w:t>
            </w:r>
          </w:p>
          <w:p w14:paraId="1B9FA748" w14:textId="77777777" w:rsidR="00A819EB" w:rsidRPr="001E6F7C" w:rsidRDefault="00A819EB" w:rsidP="00A819EB">
            <w:pPr>
              <w:numPr>
                <w:ilvl w:val="0"/>
                <w:numId w:val="14"/>
              </w:numPr>
              <w:spacing w:before="120" w:after="60" w:line="240" w:lineRule="auto"/>
              <w:rPr>
                <w:sz w:val="22"/>
                <w:szCs w:val="22"/>
                <w:lang w:val="en-GB" w:eastAsia="en-GB"/>
              </w:rPr>
            </w:pPr>
            <w:r w:rsidRPr="001E6F7C">
              <w:rPr>
                <w:b/>
                <w:bCs/>
                <w:sz w:val="22"/>
                <w:szCs w:val="22"/>
                <w:lang w:val="en-GB" w:eastAsia="en-GB"/>
              </w:rPr>
              <w:t>Savings</w:t>
            </w:r>
            <w:r w:rsidRPr="001E6F7C">
              <w:rPr>
                <w:sz w:val="22"/>
                <w:szCs w:val="22"/>
                <w:lang w:val="en-GB" w:eastAsia="en-GB"/>
              </w:rPr>
              <w:t xml:space="preserve"> – Delivering competitive savings products to retail customers, supporting our lending activities and enabling financial wellbeing.</w:t>
            </w:r>
          </w:p>
          <w:p w14:paraId="56E12329" w14:textId="77777777" w:rsidR="00A819EB" w:rsidRPr="001E6F7C" w:rsidRDefault="00A819EB" w:rsidP="00A819EB">
            <w:pPr>
              <w:spacing w:before="120" w:after="60" w:line="240" w:lineRule="auto"/>
              <w:rPr>
                <w:sz w:val="22"/>
                <w:szCs w:val="22"/>
                <w:lang w:val="en-GB" w:eastAsia="en-GB"/>
              </w:rPr>
            </w:pPr>
            <w:r w:rsidRPr="001E6F7C">
              <w:rPr>
                <w:sz w:val="22"/>
                <w:szCs w:val="22"/>
                <w:lang w:val="en-GB" w:eastAsia="en-GB"/>
              </w:rPr>
              <w:t xml:space="preserve">Our purpose is simple: </w:t>
            </w:r>
            <w:r w:rsidRPr="001E6F7C">
              <w:rPr>
                <w:b/>
                <w:bCs/>
                <w:sz w:val="22"/>
                <w:szCs w:val="22"/>
                <w:lang w:val="en-GB" w:eastAsia="en-GB"/>
              </w:rPr>
              <w:t>to help more consumers and businesses fulfil their ambitions</w:t>
            </w:r>
            <w:r w:rsidRPr="001E6F7C">
              <w:rPr>
                <w:sz w:val="22"/>
                <w:szCs w:val="22"/>
                <w:lang w:val="en-GB" w:eastAsia="en-GB"/>
              </w:rPr>
              <w:t xml:space="preserve">. We aim to be the </w:t>
            </w:r>
            <w:r w:rsidRPr="001E6F7C">
              <w:rPr>
                <w:b/>
                <w:bCs/>
                <w:sz w:val="22"/>
                <w:szCs w:val="22"/>
                <w:lang w:val="en-GB" w:eastAsia="en-GB"/>
              </w:rPr>
              <w:t>most trusted specialist lender in the UK</w:t>
            </w:r>
            <w:r w:rsidRPr="001E6F7C">
              <w:rPr>
                <w:sz w:val="22"/>
                <w:szCs w:val="22"/>
                <w:lang w:val="en-GB" w:eastAsia="en-GB"/>
              </w:rPr>
              <w:t>, combining deep market expertise with a digitally enabled, customer-centric approach. Our strategy focuses on simplifying operations, enhancing customer experience, and leveraging strong partner networks to drive sustainable growth.</w:t>
            </w:r>
          </w:p>
          <w:p w14:paraId="55D4E4AD" w14:textId="6CD65B1E" w:rsidR="00051AE2" w:rsidRPr="00821304" w:rsidRDefault="00000000" w:rsidP="00821304">
            <w:pPr>
              <w:spacing w:before="60" w:after="60"/>
              <w:rPr>
                <w:rFonts w:asciiTheme="minorHAnsi" w:hAnsiTheme="minorHAnsi" w:cs="Shruti"/>
                <w:iCs/>
                <w:sz w:val="22"/>
                <w:szCs w:val="22"/>
              </w:rPr>
            </w:pPr>
            <w:r>
              <w:rPr>
                <w:iCs/>
                <w:sz w:val="22"/>
                <w:szCs w:val="22"/>
              </w:rPr>
              <w:t>W</w:t>
            </w:r>
            <w:r w:rsidRPr="007C5CA5">
              <w:rPr>
                <w:iCs/>
                <w:sz w:val="22"/>
                <w:szCs w:val="22"/>
              </w:rPr>
              <w:t xml:space="preserve">e know that people are our biggest investment, which is why a career with us is not just a job. It’s the chance to be part of something bigger, to add real value to the Bank and help us constantly improve, </w:t>
            </w:r>
            <w:proofErr w:type="gramStart"/>
            <w:r w:rsidRPr="007C5CA5">
              <w:rPr>
                <w:iCs/>
                <w:sz w:val="22"/>
                <w:szCs w:val="22"/>
              </w:rPr>
              <w:t>in order to</w:t>
            </w:r>
            <w:proofErr w:type="gramEnd"/>
            <w:r w:rsidRPr="007C5CA5">
              <w:rPr>
                <w:iCs/>
                <w:sz w:val="22"/>
                <w:szCs w:val="22"/>
              </w:rPr>
              <w:t xml:space="preserve"> achieve our ambition of becoming the </w:t>
            </w:r>
            <w:r>
              <w:rPr>
                <w:iCs/>
                <w:sz w:val="22"/>
                <w:szCs w:val="22"/>
              </w:rPr>
              <w:t xml:space="preserve">most </w:t>
            </w:r>
            <w:r>
              <w:rPr>
                <w:iCs/>
                <w:sz w:val="22"/>
                <w:szCs w:val="22"/>
              </w:rPr>
              <w:t>trusted specialist lender in the UK</w:t>
            </w:r>
            <w:r w:rsidRPr="007C5CA5">
              <w:rPr>
                <w:iCs/>
                <w:sz w:val="22"/>
                <w:szCs w:val="22"/>
              </w:rPr>
              <w:t xml:space="preserve">. We believe in giving our </w:t>
            </w:r>
            <w:r>
              <w:rPr>
                <w:iCs/>
                <w:sz w:val="22"/>
                <w:szCs w:val="22"/>
              </w:rPr>
              <w:t xml:space="preserve">colleagues </w:t>
            </w:r>
            <w:r w:rsidRPr="007C5CA5">
              <w:rPr>
                <w:iCs/>
                <w:sz w:val="22"/>
                <w:szCs w:val="22"/>
              </w:rPr>
              <w:t xml:space="preserve">autonomy, with initiative and exceptional performance </w:t>
            </w:r>
            <w:proofErr w:type="spellStart"/>
            <w:r w:rsidRPr="007C5CA5">
              <w:rPr>
                <w:iCs/>
                <w:sz w:val="22"/>
                <w:szCs w:val="22"/>
              </w:rPr>
              <w:t>recognised</w:t>
            </w:r>
            <w:proofErr w:type="spellEnd"/>
            <w:r w:rsidRPr="007C5CA5">
              <w:rPr>
                <w:iCs/>
                <w:sz w:val="22"/>
                <w:szCs w:val="22"/>
              </w:rPr>
              <w:t xml:space="preserve"> through a variety of individual and team awards and incentives.</w:t>
            </w:r>
          </w:p>
        </w:tc>
      </w:tr>
      <w:tr w:rsidR="002645BE" w:rsidRPr="00BB00E5" w14:paraId="6EF85A6D" w14:textId="77777777" w:rsidTr="00153CDF">
        <w:trPr>
          <w:trHeight w:val="443"/>
        </w:trPr>
        <w:tc>
          <w:tcPr>
            <w:tcW w:w="1364" w:type="dxa"/>
          </w:tcPr>
          <w:p w14:paraId="67A03226" w14:textId="77777777" w:rsidR="002645BE" w:rsidRPr="00BB00E5" w:rsidRDefault="002645BE" w:rsidP="002645BE">
            <w:pPr>
              <w:spacing w:after="0" w:line="240" w:lineRule="auto"/>
              <w:rPr>
                <w:rFonts w:asciiTheme="minorHAnsi" w:eastAsiaTheme="minorHAnsi" w:hAnsiTheme="minorHAnsi" w:cs="Shruti"/>
                <w:b/>
                <w:sz w:val="22"/>
                <w:szCs w:val="22"/>
                <w:lang w:val="en-GB"/>
              </w:rPr>
            </w:pPr>
          </w:p>
          <w:p w14:paraId="07B0C84E" w14:textId="2F36E5B8" w:rsidR="002645BE" w:rsidRPr="00BB00E5" w:rsidRDefault="002E1841" w:rsidP="002645BE">
            <w:pPr>
              <w:spacing w:after="0" w:line="240" w:lineRule="auto"/>
              <w:rPr>
                <w:rFonts w:asciiTheme="minorHAnsi" w:eastAsiaTheme="minorHAnsi" w:hAnsiTheme="minorHAnsi" w:cs="Shruti"/>
                <w:b/>
                <w:sz w:val="22"/>
                <w:szCs w:val="22"/>
                <w:lang w:val="en-GB"/>
              </w:rPr>
            </w:pPr>
            <w:r>
              <w:rPr>
                <w:rFonts w:asciiTheme="minorHAnsi" w:eastAsiaTheme="minorHAnsi" w:hAnsiTheme="minorHAnsi" w:cs="Shruti"/>
                <w:b/>
                <w:sz w:val="22"/>
                <w:szCs w:val="22"/>
                <w:lang w:val="en-GB"/>
              </w:rPr>
              <w:t xml:space="preserve">Role profile </w:t>
            </w:r>
          </w:p>
          <w:p w14:paraId="24010C6A" w14:textId="77777777" w:rsidR="002645BE" w:rsidRPr="00BB00E5" w:rsidRDefault="002645BE" w:rsidP="002645BE">
            <w:pPr>
              <w:spacing w:after="0" w:line="240" w:lineRule="auto"/>
              <w:rPr>
                <w:rFonts w:asciiTheme="minorHAnsi" w:eastAsiaTheme="minorHAnsi" w:hAnsiTheme="minorHAnsi" w:cs="Shruti"/>
                <w:b/>
                <w:sz w:val="22"/>
                <w:szCs w:val="22"/>
                <w:lang w:val="en-GB"/>
              </w:rPr>
            </w:pPr>
          </w:p>
        </w:tc>
        <w:tc>
          <w:tcPr>
            <w:tcW w:w="9664" w:type="dxa"/>
            <w:tcMar>
              <w:top w:w="0" w:type="dxa"/>
              <w:left w:w="108" w:type="dxa"/>
              <w:bottom w:w="0" w:type="dxa"/>
              <w:right w:w="108" w:type="dxa"/>
            </w:tcMar>
            <w:hideMark/>
          </w:tcPr>
          <w:p w14:paraId="5B93C045" w14:textId="77777777" w:rsidR="00153CDF" w:rsidRDefault="00153CDF">
            <w:pPr>
              <w:spacing w:after="0"/>
              <w:rPr>
                <w:kern w:val="2"/>
                <w14:ligatures w14:val="standardContextual"/>
              </w:rPr>
            </w:pPr>
            <w:r>
              <w:rPr>
                <w:b/>
                <w:bCs/>
                <w:i/>
                <w:iCs/>
                <w:sz w:val="22"/>
                <w:szCs w:val="22"/>
              </w:rPr>
              <w:t>Job Purpose</w:t>
            </w:r>
          </w:p>
          <w:p w14:paraId="4E440416" w14:textId="77777777" w:rsidR="00153CDF" w:rsidRDefault="00153CDF">
            <w:r>
              <w:rPr>
                <w:sz w:val="22"/>
                <w:szCs w:val="22"/>
              </w:rPr>
              <w:t xml:space="preserve">The Senior Manager, Recoveries supports the Director of Recoveries in the management of higher-risk, distressed and non-performing exposures within the Real Estate Finance portfolio. The role requires strong credit skills, sound commercial judgement and structured problem solving. The role holder will take day-to-day ownership of assigned cases, develop and recommend practical recovery strategies, and implement approved actions in a timely and controlled manner to protect the Bank's position and </w:t>
            </w:r>
            <w:proofErr w:type="spellStart"/>
            <w:r>
              <w:rPr>
                <w:sz w:val="22"/>
                <w:szCs w:val="22"/>
              </w:rPr>
              <w:t>maximise</w:t>
            </w:r>
            <w:proofErr w:type="spellEnd"/>
            <w:r>
              <w:rPr>
                <w:sz w:val="22"/>
                <w:szCs w:val="22"/>
              </w:rPr>
              <w:t xml:space="preserve"> recoveries.</w:t>
            </w:r>
          </w:p>
          <w:p w14:paraId="225DA4D9" w14:textId="77777777" w:rsidR="00153CDF" w:rsidRDefault="00153CDF">
            <w:pPr>
              <w:spacing w:after="0"/>
            </w:pPr>
            <w:r>
              <w:rPr>
                <w:b/>
                <w:bCs/>
                <w:i/>
                <w:iCs/>
                <w:sz w:val="22"/>
                <w:szCs w:val="22"/>
              </w:rPr>
              <w:t>Impact &amp; Outcomes</w:t>
            </w:r>
          </w:p>
          <w:p w14:paraId="7D89DF09" w14:textId="77777777" w:rsidR="00153CDF" w:rsidRDefault="00153CDF" w:rsidP="00153CDF">
            <w:pPr>
              <w:pStyle w:val="ListParagraph"/>
              <w:numPr>
                <w:ilvl w:val="0"/>
                <w:numId w:val="18"/>
              </w:numPr>
            </w:pPr>
            <w:r w:rsidRPr="00153CDF">
              <w:rPr>
                <w:sz w:val="22"/>
              </w:rPr>
              <w:t>Effective management of an allocated portfolio of higher-risk, watchlist, distressed and non-performing Real Estate Finance exposures within the Bank's governance and delegated authority framework.</w:t>
            </w:r>
          </w:p>
          <w:p w14:paraId="2D3E640B" w14:textId="77777777" w:rsidR="00153CDF" w:rsidRDefault="00153CDF" w:rsidP="00153CDF">
            <w:pPr>
              <w:pStyle w:val="ListParagraph"/>
              <w:numPr>
                <w:ilvl w:val="0"/>
                <w:numId w:val="18"/>
              </w:numPr>
            </w:pPr>
            <w:r>
              <w:rPr>
                <w:sz w:val="22"/>
              </w:rPr>
              <w:t>Clear, evidence-based recommendations that support timely decisions and balance risk, recovery, timing and customer considerations.</w:t>
            </w:r>
          </w:p>
          <w:p w14:paraId="4D90B291" w14:textId="77777777" w:rsidR="00153CDF" w:rsidRDefault="00153CDF" w:rsidP="00153CDF">
            <w:pPr>
              <w:pStyle w:val="ListParagraph"/>
              <w:numPr>
                <w:ilvl w:val="0"/>
                <w:numId w:val="18"/>
              </w:numPr>
            </w:pPr>
            <w:r>
              <w:rPr>
                <w:sz w:val="22"/>
              </w:rPr>
              <w:t>Approved recovery, stabilisation, restructuring, consensual resolution or enforcement strategies implemented in a controlled and timely way.</w:t>
            </w:r>
          </w:p>
          <w:p w14:paraId="431F43D6" w14:textId="77777777" w:rsidR="00153CDF" w:rsidRDefault="00153CDF" w:rsidP="00153CDF">
            <w:pPr>
              <w:pStyle w:val="ListParagraph"/>
              <w:numPr>
                <w:ilvl w:val="0"/>
                <w:numId w:val="18"/>
              </w:numPr>
            </w:pPr>
            <w:r>
              <w:rPr>
                <w:sz w:val="22"/>
              </w:rPr>
              <w:t>Robust monitoring of borrower, asset and market performance to identify emerging deterioration and protect the Bank's position.</w:t>
            </w:r>
          </w:p>
          <w:p w14:paraId="217A3672" w14:textId="77777777" w:rsidR="00153CDF" w:rsidRDefault="00153CDF" w:rsidP="00153CDF">
            <w:pPr>
              <w:pStyle w:val="ListParagraph"/>
              <w:numPr>
                <w:ilvl w:val="0"/>
                <w:numId w:val="18"/>
              </w:numPr>
            </w:pPr>
            <w:r>
              <w:rPr>
                <w:sz w:val="22"/>
              </w:rPr>
              <w:t>Complete, accurate and timely case files, strategy papers, approvals, records and reporting in line with Bank policy and regulatory requirements.</w:t>
            </w:r>
          </w:p>
          <w:p w14:paraId="688774C0" w14:textId="77777777" w:rsidR="00153CDF" w:rsidRDefault="00153CDF">
            <w:pPr>
              <w:spacing w:after="0"/>
              <w:rPr>
                <w:rFonts w:cs="Calibri"/>
              </w:rPr>
            </w:pPr>
            <w:r>
              <w:rPr>
                <w:b/>
                <w:bCs/>
                <w:i/>
                <w:iCs/>
                <w:sz w:val="22"/>
                <w:szCs w:val="22"/>
              </w:rPr>
              <w:t>Key Responsibilities</w:t>
            </w:r>
          </w:p>
          <w:p w14:paraId="2F96D293" w14:textId="77777777" w:rsidR="00153CDF" w:rsidRDefault="00153CDF" w:rsidP="00153CDF">
            <w:pPr>
              <w:pStyle w:val="ListParagraph"/>
              <w:numPr>
                <w:ilvl w:val="0"/>
                <w:numId w:val="19"/>
              </w:numPr>
            </w:pPr>
            <w:r w:rsidRPr="00153CDF">
              <w:rPr>
                <w:sz w:val="22"/>
              </w:rPr>
              <w:lastRenderedPageBreak/>
              <w:t>Undertake robust credit analysis of borrowers, sponsors, guarantors, security, cash flows, valuations and exit strategies, identifying the key risks, sensitivities and sources of repayment.</w:t>
            </w:r>
          </w:p>
          <w:p w14:paraId="48192FA9" w14:textId="77777777" w:rsidR="00153CDF" w:rsidRDefault="00153CDF" w:rsidP="00153CDF">
            <w:pPr>
              <w:pStyle w:val="ListParagraph"/>
              <w:numPr>
                <w:ilvl w:val="0"/>
                <w:numId w:val="19"/>
              </w:numPr>
            </w:pPr>
            <w:r>
              <w:rPr>
                <w:sz w:val="22"/>
              </w:rPr>
              <w:t>Apply strong judgement and structured problem solving to complex situations, developing clear and commercially realistic options.</w:t>
            </w:r>
          </w:p>
          <w:p w14:paraId="09465392" w14:textId="77777777" w:rsidR="00153CDF" w:rsidRDefault="00153CDF" w:rsidP="00153CDF">
            <w:pPr>
              <w:pStyle w:val="ListParagraph"/>
              <w:numPr>
                <w:ilvl w:val="0"/>
                <w:numId w:val="19"/>
              </w:numPr>
            </w:pPr>
            <w:r>
              <w:rPr>
                <w:sz w:val="22"/>
              </w:rPr>
              <w:t>Prepare concise recommendations for the Director of Recoveries, Impairment Decisioning Committee, Credit Committee and other relevant stakeholders.</w:t>
            </w:r>
          </w:p>
          <w:p w14:paraId="6A00AE1A" w14:textId="77777777" w:rsidR="00153CDF" w:rsidRDefault="00153CDF" w:rsidP="00153CDF">
            <w:pPr>
              <w:pStyle w:val="ListParagraph"/>
              <w:numPr>
                <w:ilvl w:val="0"/>
                <w:numId w:val="19"/>
              </w:numPr>
            </w:pPr>
            <w:r>
              <w:rPr>
                <w:sz w:val="22"/>
              </w:rPr>
              <w:t>Implement approved strategies, including negotiations with borrowers, sponsors and guarantors and the management of milestones, information requirements, waivers and action plans.</w:t>
            </w:r>
          </w:p>
          <w:p w14:paraId="2293555E" w14:textId="77777777" w:rsidR="00821304" w:rsidRPr="00821304" w:rsidRDefault="00821304" w:rsidP="00821304">
            <w:pPr>
              <w:pStyle w:val="ListParagraph"/>
              <w:numPr>
                <w:ilvl w:val="0"/>
                <w:numId w:val="19"/>
              </w:numPr>
            </w:pPr>
            <w:r>
              <w:rPr>
                <w:sz w:val="22"/>
              </w:rPr>
              <w:t>Manage day-to-day relationships with internal and external stakeholders including Credit Risk, Legal, Finance, Relationship Management, valuers, solicitors, insolvency practitioners, fixed charge receivers and other advisers.</w:t>
            </w:r>
          </w:p>
          <w:p w14:paraId="10D026A9" w14:textId="77777777" w:rsidR="00821304" w:rsidRPr="00821304" w:rsidRDefault="00821304" w:rsidP="00821304">
            <w:pPr>
              <w:pStyle w:val="ListParagraph"/>
              <w:numPr>
                <w:ilvl w:val="0"/>
                <w:numId w:val="19"/>
              </w:numPr>
            </w:pPr>
            <w:r>
              <w:rPr>
                <w:sz w:val="22"/>
              </w:rPr>
              <w:t>Monitor asset, borrower and market performance, challenge assumptions and forecasts, and identify emerging deterioration or changes that may affect the Bank's position.</w:t>
            </w:r>
          </w:p>
          <w:p w14:paraId="3723FFC6" w14:textId="77777777" w:rsidR="00153CDF" w:rsidRDefault="00153CDF" w:rsidP="00153CDF">
            <w:pPr>
              <w:pStyle w:val="ListParagraph"/>
              <w:numPr>
                <w:ilvl w:val="0"/>
                <w:numId w:val="19"/>
              </w:numPr>
            </w:pPr>
            <w:r>
              <w:rPr>
                <w:sz w:val="22"/>
              </w:rPr>
              <w:t>Support the assessment and ongoing review of impairment and expected credit loss requirements under IFRS 9, ensuring recommendations are supported by appropriate analysis and documentation.</w:t>
            </w:r>
          </w:p>
          <w:p w14:paraId="3A608A5A" w14:textId="77777777" w:rsidR="00821304" w:rsidRPr="00821304" w:rsidRDefault="00821304" w:rsidP="00821304">
            <w:pPr>
              <w:pStyle w:val="ListParagraph"/>
              <w:numPr>
                <w:ilvl w:val="0"/>
                <w:numId w:val="19"/>
              </w:numPr>
            </w:pPr>
            <w:r>
              <w:rPr>
                <w:sz w:val="22"/>
              </w:rPr>
              <w:t>Ensure case files, strategy papers, approvals, records and reporting are complete, accurate, timely and maintained in accordance with Bank policy and regulatory requirements.</w:t>
            </w:r>
          </w:p>
          <w:p w14:paraId="7B183115" w14:textId="77777777" w:rsidR="00153CDF" w:rsidRDefault="00153CDF" w:rsidP="00153CDF">
            <w:pPr>
              <w:pStyle w:val="ListParagraph"/>
              <w:numPr>
                <w:ilvl w:val="0"/>
                <w:numId w:val="19"/>
              </w:numPr>
            </w:pPr>
            <w:r>
              <w:rPr>
                <w:sz w:val="22"/>
              </w:rPr>
              <w:t>Escalate material developments, delays, control issues and proposed changes in strategy promptly to the Director of Recoveries, with a clear assessment and recommended response.</w:t>
            </w:r>
          </w:p>
          <w:p w14:paraId="6A1FF0E1" w14:textId="77777777" w:rsidR="00153CDF" w:rsidRDefault="00153CDF" w:rsidP="00153CDF">
            <w:pPr>
              <w:pStyle w:val="ListParagraph"/>
              <w:numPr>
                <w:ilvl w:val="0"/>
                <w:numId w:val="19"/>
              </w:numPr>
            </w:pPr>
            <w:r>
              <w:rPr>
                <w:sz w:val="22"/>
              </w:rPr>
              <w:t>Contribute to the continued development of Recoveries procedures, templates, management information, lessons learned and the panel of external professionals.</w:t>
            </w:r>
          </w:p>
          <w:p w14:paraId="3B58ED6E" w14:textId="77777777" w:rsidR="00821304" w:rsidRPr="00821304" w:rsidRDefault="00821304" w:rsidP="00821304">
            <w:pPr>
              <w:pStyle w:val="ListParagraph"/>
              <w:numPr>
                <w:ilvl w:val="0"/>
                <w:numId w:val="19"/>
              </w:numPr>
            </w:pPr>
            <w:r>
              <w:rPr>
                <w:sz w:val="22"/>
              </w:rPr>
              <w:t>Provide practical guidance and constructive challenge to colleagues across Real Estate Finance on higher-risk cases, while operating within the strategic direction set by the Director of Recoveries.</w:t>
            </w:r>
          </w:p>
          <w:p w14:paraId="6668EA7C" w14:textId="77777777" w:rsidR="00153CDF" w:rsidRDefault="00153CDF" w:rsidP="00153CDF">
            <w:pPr>
              <w:pStyle w:val="ListParagraph"/>
              <w:numPr>
                <w:ilvl w:val="0"/>
                <w:numId w:val="19"/>
              </w:numPr>
            </w:pPr>
            <w:r>
              <w:rPr>
                <w:sz w:val="22"/>
              </w:rPr>
              <w:t>Keep up to date with relevant legal, regulatory, insolvency and property market developments affecting distressed Real Estate Finance and recoveries.</w:t>
            </w:r>
          </w:p>
          <w:p w14:paraId="61F895D3" w14:textId="77777777" w:rsidR="00153CDF" w:rsidRDefault="00153CDF">
            <w:pPr>
              <w:spacing w:after="0"/>
              <w:rPr>
                <w:rFonts w:cs="Calibri"/>
              </w:rPr>
            </w:pPr>
            <w:r>
              <w:rPr>
                <w:b/>
                <w:bCs/>
                <w:i/>
                <w:iCs/>
                <w:sz w:val="22"/>
                <w:szCs w:val="22"/>
              </w:rPr>
              <w:t>Key Priorities</w:t>
            </w:r>
          </w:p>
          <w:p w14:paraId="1898A662" w14:textId="77777777" w:rsidR="00153CDF" w:rsidRDefault="00153CDF" w:rsidP="00153CDF">
            <w:pPr>
              <w:pStyle w:val="ListParagraph"/>
              <w:numPr>
                <w:ilvl w:val="0"/>
                <w:numId w:val="20"/>
              </w:numPr>
            </w:pPr>
            <w:r w:rsidRPr="00153CDF">
              <w:rPr>
                <w:sz w:val="22"/>
              </w:rPr>
              <w:t>Deliver timely and controlled case strategies for assigned distressed and non-performing exposures.</w:t>
            </w:r>
          </w:p>
          <w:p w14:paraId="3333B234" w14:textId="77777777" w:rsidR="00153CDF" w:rsidRDefault="00153CDF" w:rsidP="00153CDF">
            <w:pPr>
              <w:pStyle w:val="ListParagraph"/>
              <w:numPr>
                <w:ilvl w:val="0"/>
                <w:numId w:val="20"/>
              </w:numPr>
            </w:pPr>
            <w:r>
              <w:rPr>
                <w:sz w:val="22"/>
              </w:rPr>
              <w:t>Strengthen the quality and consistency of recovery strategy papers, case records and management information.</w:t>
            </w:r>
          </w:p>
          <w:p w14:paraId="61483BFF" w14:textId="77777777" w:rsidR="00153CDF" w:rsidRDefault="00153CDF" w:rsidP="00153CDF">
            <w:pPr>
              <w:pStyle w:val="ListParagraph"/>
              <w:numPr>
                <w:ilvl w:val="0"/>
                <w:numId w:val="20"/>
              </w:numPr>
            </w:pPr>
            <w:r>
              <w:rPr>
                <w:sz w:val="22"/>
              </w:rPr>
              <w:t>Support effective impairment assessment and expected credit loss review activity.</w:t>
            </w:r>
          </w:p>
          <w:p w14:paraId="2B328DF0" w14:textId="77777777" w:rsidR="00153CDF" w:rsidRDefault="00153CDF" w:rsidP="00153CDF">
            <w:pPr>
              <w:pStyle w:val="ListParagraph"/>
              <w:numPr>
                <w:ilvl w:val="0"/>
                <w:numId w:val="20"/>
              </w:numPr>
            </w:pPr>
            <w:r>
              <w:rPr>
                <w:sz w:val="22"/>
              </w:rPr>
              <w:t>Build strong relationships with internal teams and external advisers to support effective outcomes on complex cases.</w:t>
            </w:r>
          </w:p>
          <w:p w14:paraId="4D7C0408" w14:textId="77777777" w:rsidR="00153CDF" w:rsidRDefault="00153CDF">
            <w:pPr>
              <w:spacing w:after="0"/>
              <w:rPr>
                <w:rFonts w:cs="Calibri"/>
              </w:rPr>
            </w:pPr>
            <w:r>
              <w:rPr>
                <w:b/>
                <w:bCs/>
                <w:i/>
                <w:iCs/>
                <w:sz w:val="22"/>
                <w:szCs w:val="22"/>
              </w:rPr>
              <w:t>Key Interfaces</w:t>
            </w:r>
          </w:p>
          <w:p w14:paraId="29B38A90" w14:textId="77777777" w:rsidR="00153CDF" w:rsidRDefault="00153CDF" w:rsidP="00153CDF">
            <w:pPr>
              <w:pStyle w:val="ListParagraph"/>
              <w:numPr>
                <w:ilvl w:val="0"/>
                <w:numId w:val="21"/>
              </w:numPr>
            </w:pPr>
            <w:r w:rsidRPr="00153CDF">
              <w:rPr>
                <w:sz w:val="22"/>
              </w:rPr>
              <w:t>Director of Recoveries, Real Estate Finance.</w:t>
            </w:r>
          </w:p>
          <w:p w14:paraId="67D7801D" w14:textId="77777777" w:rsidR="00153CDF" w:rsidRDefault="00153CDF" w:rsidP="00153CDF">
            <w:pPr>
              <w:pStyle w:val="ListParagraph"/>
              <w:numPr>
                <w:ilvl w:val="0"/>
                <w:numId w:val="21"/>
              </w:numPr>
            </w:pPr>
            <w:r>
              <w:rPr>
                <w:sz w:val="22"/>
              </w:rPr>
              <w:t>Credit Risk, Legal, Finance and Relationship Management teams.</w:t>
            </w:r>
          </w:p>
          <w:p w14:paraId="515AD584" w14:textId="77777777" w:rsidR="00153CDF" w:rsidRDefault="00153CDF" w:rsidP="00153CDF">
            <w:pPr>
              <w:pStyle w:val="ListParagraph"/>
              <w:numPr>
                <w:ilvl w:val="0"/>
                <w:numId w:val="21"/>
              </w:numPr>
            </w:pPr>
            <w:r>
              <w:rPr>
                <w:sz w:val="22"/>
              </w:rPr>
              <w:t>Impairment Decisioning Committee, Credit Committee and other relevant governance forums.</w:t>
            </w:r>
          </w:p>
          <w:p w14:paraId="564D4FB9" w14:textId="24BE01E5" w:rsidR="00754573" w:rsidRPr="00153CDF" w:rsidRDefault="00153CDF" w:rsidP="00153CDF">
            <w:pPr>
              <w:pStyle w:val="ListParagraph"/>
              <w:numPr>
                <w:ilvl w:val="0"/>
                <w:numId w:val="21"/>
              </w:numPr>
              <w:rPr>
                <w:sz w:val="22"/>
              </w:rPr>
            </w:pPr>
            <w:r>
              <w:rPr>
                <w:sz w:val="22"/>
              </w:rPr>
              <w:t>Borrowers, sponsors, guarantors, valuers, solicitors, insolvency practitioners, fixed charge receivers and other advisers.</w:t>
            </w:r>
          </w:p>
        </w:tc>
      </w:tr>
      <w:tr w:rsidR="002645BE" w:rsidRPr="00BB00E5" w14:paraId="7030AF4D" w14:textId="77777777" w:rsidTr="00153CDF">
        <w:trPr>
          <w:trHeight w:val="1431"/>
        </w:trPr>
        <w:tc>
          <w:tcPr>
            <w:tcW w:w="1364" w:type="dxa"/>
          </w:tcPr>
          <w:p w14:paraId="48B1E8DB" w14:textId="77777777" w:rsidR="002645BE" w:rsidRDefault="002645BE" w:rsidP="002645BE">
            <w:pPr>
              <w:spacing w:after="0" w:line="240" w:lineRule="auto"/>
              <w:rPr>
                <w:rFonts w:asciiTheme="minorHAnsi" w:eastAsiaTheme="minorHAnsi" w:hAnsiTheme="minorHAnsi" w:cs="Shruti"/>
                <w:b/>
                <w:sz w:val="22"/>
                <w:szCs w:val="22"/>
                <w:lang w:val="en-GB"/>
              </w:rPr>
            </w:pPr>
          </w:p>
          <w:p w14:paraId="6C3EEAB4" w14:textId="745A3090" w:rsidR="002645BE" w:rsidRPr="00BB00E5" w:rsidRDefault="002E1841" w:rsidP="002645BE">
            <w:pPr>
              <w:spacing w:after="0" w:line="240" w:lineRule="auto"/>
              <w:rPr>
                <w:rFonts w:asciiTheme="minorHAnsi" w:eastAsiaTheme="minorHAnsi" w:hAnsiTheme="minorHAnsi" w:cs="Shruti"/>
                <w:b/>
                <w:sz w:val="22"/>
                <w:szCs w:val="22"/>
                <w:lang w:val="en-GB"/>
              </w:rPr>
            </w:pPr>
            <w:r>
              <w:rPr>
                <w:rFonts w:asciiTheme="minorHAnsi" w:eastAsiaTheme="minorHAnsi" w:hAnsiTheme="minorHAnsi" w:cs="Shruti"/>
                <w:b/>
                <w:sz w:val="22"/>
                <w:szCs w:val="22"/>
                <w:lang w:val="en-GB"/>
              </w:rPr>
              <w:t xml:space="preserve">How we work </w:t>
            </w:r>
          </w:p>
          <w:p w14:paraId="44BEF0BA" w14:textId="77777777" w:rsidR="002645BE" w:rsidRPr="00BB00E5" w:rsidRDefault="002645BE" w:rsidP="002645BE">
            <w:pPr>
              <w:spacing w:after="0" w:line="240" w:lineRule="auto"/>
              <w:rPr>
                <w:rFonts w:asciiTheme="minorHAnsi" w:eastAsiaTheme="minorHAnsi" w:hAnsiTheme="minorHAnsi" w:cs="Shruti"/>
                <w:b/>
                <w:sz w:val="22"/>
                <w:szCs w:val="22"/>
                <w:lang w:val="en-GB"/>
              </w:rPr>
            </w:pPr>
          </w:p>
        </w:tc>
        <w:tc>
          <w:tcPr>
            <w:tcW w:w="9664" w:type="dxa"/>
            <w:tcMar>
              <w:top w:w="0" w:type="dxa"/>
              <w:left w:w="108" w:type="dxa"/>
              <w:bottom w:w="0" w:type="dxa"/>
              <w:right w:w="108" w:type="dxa"/>
            </w:tcMar>
            <w:hideMark/>
          </w:tcPr>
          <w:p w14:paraId="15B21F1B" w14:textId="77777777" w:rsidR="00153CDF" w:rsidRDefault="00153CDF">
            <w:pPr>
              <w:spacing w:after="0"/>
              <w:rPr>
                <w:kern w:val="2"/>
                <w14:ligatures w14:val="standardContextual"/>
              </w:rPr>
            </w:pPr>
            <w:r>
              <w:rPr>
                <w:b/>
                <w:bCs/>
                <w:i/>
                <w:iCs/>
                <w:sz w:val="22"/>
                <w:szCs w:val="22"/>
              </w:rPr>
              <w:t>Working hours</w:t>
            </w:r>
          </w:p>
          <w:p w14:paraId="6D6008F3" w14:textId="77777777" w:rsidR="00153CDF" w:rsidRDefault="00153CDF">
            <w:pPr>
              <w:spacing w:after="0"/>
            </w:pPr>
            <w:r>
              <w:rPr>
                <w:sz w:val="22"/>
                <w:szCs w:val="22"/>
              </w:rPr>
              <w:t>Standard working hours apply in line with Bank policy, with flexibility required to manage urgent case activity, key deadlines and stakeholder meetings.</w:t>
            </w:r>
          </w:p>
          <w:p w14:paraId="184450AF" w14:textId="77777777" w:rsidR="00153CDF" w:rsidRDefault="00153CDF">
            <w:pPr>
              <w:spacing w:after="0"/>
            </w:pPr>
            <w:r>
              <w:rPr>
                <w:b/>
                <w:bCs/>
                <w:i/>
                <w:iCs/>
                <w:sz w:val="22"/>
                <w:szCs w:val="22"/>
              </w:rPr>
              <w:t>Hybrid working application</w:t>
            </w:r>
          </w:p>
          <w:p w14:paraId="0FD80D8A" w14:textId="77777777" w:rsidR="00153CDF" w:rsidRDefault="00153CDF">
            <w:pPr>
              <w:spacing w:after="0"/>
            </w:pPr>
            <w:r>
              <w:rPr>
                <w:sz w:val="22"/>
                <w:szCs w:val="22"/>
              </w:rPr>
              <w:t>Hybrid working applies in line with business requirements and Bank policy, balancing case management, stakeholder engagement and team collaboration.</w:t>
            </w:r>
          </w:p>
          <w:p w14:paraId="6E8C10F1" w14:textId="51E35021" w:rsidR="00153CDF" w:rsidRDefault="0016561C">
            <w:pPr>
              <w:spacing w:after="0"/>
            </w:pPr>
            <w:r>
              <w:rPr>
                <w:b/>
                <w:bCs/>
                <w:i/>
                <w:iCs/>
                <w:sz w:val="22"/>
                <w:szCs w:val="22"/>
              </w:rPr>
              <w:t>Location</w:t>
            </w:r>
          </w:p>
          <w:p w14:paraId="24371516" w14:textId="0FA8122A" w:rsidR="000E1675" w:rsidRPr="002E1841" w:rsidRDefault="00153CDF" w:rsidP="00153CDF">
            <w:pPr>
              <w:spacing w:after="0"/>
              <w:rPr>
                <w:rFonts w:asciiTheme="minorHAnsi" w:eastAsiaTheme="minorHAnsi" w:hAnsiTheme="minorHAnsi" w:cs="Shruti"/>
                <w:b/>
                <w:i/>
                <w:sz w:val="22"/>
                <w:szCs w:val="22"/>
                <w:lang w:val="en-GB"/>
              </w:rPr>
            </w:pPr>
            <w:r>
              <w:rPr>
                <w:sz w:val="22"/>
                <w:szCs w:val="22"/>
              </w:rPr>
              <w:t xml:space="preserve">The role </w:t>
            </w:r>
            <w:r w:rsidR="0016561C">
              <w:rPr>
                <w:sz w:val="22"/>
                <w:szCs w:val="22"/>
              </w:rPr>
              <w:t xml:space="preserve">could be </w:t>
            </w:r>
            <w:r>
              <w:rPr>
                <w:sz w:val="22"/>
                <w:szCs w:val="22"/>
              </w:rPr>
              <w:t xml:space="preserve">based across London </w:t>
            </w:r>
            <w:r w:rsidR="0016561C">
              <w:rPr>
                <w:sz w:val="22"/>
                <w:szCs w:val="22"/>
              </w:rPr>
              <w:t xml:space="preserve">or </w:t>
            </w:r>
            <w:r>
              <w:rPr>
                <w:sz w:val="22"/>
                <w:szCs w:val="22"/>
              </w:rPr>
              <w:t>Manchester and may require engagement with colleagues, customers and advisers across multiple locations.</w:t>
            </w:r>
          </w:p>
        </w:tc>
      </w:tr>
      <w:tr w:rsidR="002E1841" w:rsidRPr="00BB00E5" w14:paraId="39979773" w14:textId="77777777" w:rsidTr="00153CDF">
        <w:trPr>
          <w:trHeight w:val="1431"/>
        </w:trPr>
        <w:tc>
          <w:tcPr>
            <w:tcW w:w="1364" w:type="dxa"/>
          </w:tcPr>
          <w:p w14:paraId="7D7B4405" w14:textId="44C14C0B" w:rsidR="002E1841" w:rsidRDefault="00A67885" w:rsidP="002645BE">
            <w:pPr>
              <w:spacing w:after="0" w:line="240" w:lineRule="auto"/>
              <w:rPr>
                <w:rFonts w:asciiTheme="minorHAnsi" w:eastAsiaTheme="minorHAnsi" w:hAnsiTheme="minorHAnsi" w:cs="Shruti"/>
                <w:b/>
                <w:sz w:val="22"/>
                <w:szCs w:val="22"/>
                <w:lang w:val="en-GB"/>
              </w:rPr>
            </w:pPr>
            <w:r>
              <w:rPr>
                <w:rFonts w:asciiTheme="minorHAnsi" w:eastAsiaTheme="minorHAnsi" w:hAnsiTheme="minorHAnsi" w:cs="Shruti"/>
                <w:b/>
                <w:sz w:val="22"/>
                <w:szCs w:val="22"/>
                <w:lang w:val="en-GB"/>
              </w:rPr>
              <w:lastRenderedPageBreak/>
              <w:t xml:space="preserve">Person Specification </w:t>
            </w:r>
          </w:p>
        </w:tc>
        <w:tc>
          <w:tcPr>
            <w:tcW w:w="9664" w:type="dxa"/>
            <w:tcMar>
              <w:top w:w="0" w:type="dxa"/>
              <w:left w:w="108" w:type="dxa"/>
              <w:bottom w:w="0" w:type="dxa"/>
              <w:right w:w="108" w:type="dxa"/>
            </w:tcMar>
            <w:hideMark/>
          </w:tcPr>
          <w:p w14:paraId="7B416595" w14:textId="77777777" w:rsidR="00153CDF" w:rsidRDefault="00153CDF">
            <w:pPr>
              <w:pStyle w:val="ListParagraph"/>
              <w:ind w:left="360"/>
              <w:jc w:val="both"/>
              <w:rPr>
                <w:kern w:val="2"/>
                <w:szCs w:val="20"/>
                <w14:ligatures w14:val="standardContextual"/>
              </w:rPr>
            </w:pPr>
            <w:r>
              <w:rPr>
                <w:b/>
                <w:bCs/>
                <w:i/>
                <w:iCs/>
                <w:sz w:val="22"/>
              </w:rPr>
              <w:t>Essential Criteria</w:t>
            </w:r>
          </w:p>
          <w:p w14:paraId="16E2F9DF" w14:textId="77777777" w:rsidR="00153CDF" w:rsidRDefault="00153CDF" w:rsidP="00153CDF">
            <w:pPr>
              <w:pStyle w:val="ListParagraph"/>
              <w:numPr>
                <w:ilvl w:val="0"/>
                <w:numId w:val="22"/>
              </w:numPr>
            </w:pPr>
            <w:r>
              <w:rPr>
                <w:sz w:val="22"/>
              </w:rPr>
              <w:t>Strong credit underwriting and credit risk management capability within the UK Real Estate Finance market.</w:t>
            </w:r>
          </w:p>
          <w:p w14:paraId="1C98937D" w14:textId="77777777" w:rsidR="00153CDF" w:rsidRDefault="00153CDF" w:rsidP="00153CDF">
            <w:pPr>
              <w:pStyle w:val="ListParagraph"/>
              <w:numPr>
                <w:ilvl w:val="0"/>
                <w:numId w:val="22"/>
              </w:numPr>
            </w:pPr>
            <w:r>
              <w:rPr>
                <w:sz w:val="22"/>
              </w:rPr>
              <w:t>Ability to analyse complex capital structures, cash flows, valuations, security packages and exit strategies.</w:t>
            </w:r>
          </w:p>
          <w:p w14:paraId="245EF416" w14:textId="77777777" w:rsidR="00153CDF" w:rsidRDefault="00153CDF" w:rsidP="00153CDF">
            <w:pPr>
              <w:pStyle w:val="ListParagraph"/>
              <w:numPr>
                <w:ilvl w:val="0"/>
                <w:numId w:val="22"/>
              </w:numPr>
            </w:pPr>
            <w:r>
              <w:rPr>
                <w:sz w:val="22"/>
              </w:rPr>
              <w:t>Capability to manage higher-risk, distressed or non-performing exposures in a bank, specialist lender, advisory firm or insolvency environment.</w:t>
            </w:r>
          </w:p>
          <w:p w14:paraId="69C6A304" w14:textId="77777777" w:rsidR="00153CDF" w:rsidRDefault="00153CDF" w:rsidP="00153CDF">
            <w:pPr>
              <w:pStyle w:val="ListParagraph"/>
              <w:numPr>
                <w:ilvl w:val="0"/>
                <w:numId w:val="22"/>
              </w:numPr>
            </w:pPr>
            <w:r>
              <w:rPr>
                <w:sz w:val="22"/>
              </w:rPr>
              <w:t>Sound understanding of restructuring, forbearance, enforcement and insolvency options relevant to UK Real Estate Finance.</w:t>
            </w:r>
          </w:p>
          <w:p w14:paraId="0468C50C" w14:textId="77777777" w:rsidR="00153CDF" w:rsidRDefault="00153CDF" w:rsidP="00153CDF">
            <w:pPr>
              <w:pStyle w:val="ListParagraph"/>
              <w:numPr>
                <w:ilvl w:val="0"/>
                <w:numId w:val="22"/>
              </w:numPr>
            </w:pPr>
            <w:r>
              <w:rPr>
                <w:sz w:val="22"/>
              </w:rPr>
              <w:t>Working knowledge of the legal and regulatory framework applicable to Real Estate Finance lending and recovery of non-performing exposures.</w:t>
            </w:r>
          </w:p>
          <w:p w14:paraId="425C02C0" w14:textId="77777777" w:rsidR="00153CDF" w:rsidRDefault="00153CDF" w:rsidP="00153CDF">
            <w:pPr>
              <w:pStyle w:val="ListParagraph"/>
              <w:numPr>
                <w:ilvl w:val="0"/>
                <w:numId w:val="22"/>
              </w:numPr>
            </w:pPr>
            <w:r>
              <w:rPr>
                <w:sz w:val="22"/>
              </w:rPr>
              <w:t>Strong written and verbal communication skills, with the confidence to challenge constructively, negotiate effectively and communicate with customers, advisers and senior stakeholders.</w:t>
            </w:r>
          </w:p>
          <w:p w14:paraId="5EE24BBA" w14:textId="77777777" w:rsidR="00153CDF" w:rsidRDefault="00153CDF" w:rsidP="00153CDF">
            <w:pPr>
              <w:pStyle w:val="ListParagraph"/>
              <w:numPr>
                <w:ilvl w:val="0"/>
                <w:numId w:val="22"/>
              </w:numPr>
            </w:pPr>
            <w:r>
              <w:rPr>
                <w:sz w:val="22"/>
              </w:rPr>
              <w:t>Ability to distil complex and incomplete information into concise analysis and clear, well-reasoned recommendations.</w:t>
            </w:r>
          </w:p>
          <w:p w14:paraId="2A7FFF74" w14:textId="77777777" w:rsidR="00153CDF" w:rsidRDefault="00153CDF" w:rsidP="00153CDF">
            <w:pPr>
              <w:pStyle w:val="ListParagraph"/>
              <w:numPr>
                <w:ilvl w:val="0"/>
                <w:numId w:val="22"/>
              </w:numPr>
            </w:pPr>
            <w:r>
              <w:rPr>
                <w:sz w:val="22"/>
              </w:rPr>
              <w:t>Strong organisational skills and the ability to manage multiple complex cases, competing deadlines and changing priorities with attention to detail.</w:t>
            </w:r>
          </w:p>
          <w:p w14:paraId="0B77D9AA" w14:textId="77777777" w:rsidR="00153CDF" w:rsidRDefault="00153CDF">
            <w:pPr>
              <w:pStyle w:val="ListParagraph"/>
              <w:ind w:left="360"/>
              <w:jc w:val="both"/>
              <w:rPr>
                <w:rFonts w:ascii="Calibri" w:hAnsi="Calibri" w:cs="Calibri"/>
              </w:rPr>
            </w:pPr>
            <w:r>
              <w:rPr>
                <w:b/>
                <w:bCs/>
                <w:i/>
                <w:iCs/>
                <w:sz w:val="22"/>
              </w:rPr>
              <w:t>Valued Criteria and learning opportunities</w:t>
            </w:r>
          </w:p>
          <w:p w14:paraId="0FE5FE0A" w14:textId="77777777" w:rsidR="00153CDF" w:rsidRDefault="00153CDF" w:rsidP="00153CDF">
            <w:pPr>
              <w:pStyle w:val="ListParagraph"/>
              <w:numPr>
                <w:ilvl w:val="0"/>
                <w:numId w:val="23"/>
              </w:numPr>
            </w:pPr>
            <w:r>
              <w:rPr>
                <w:sz w:val="22"/>
              </w:rPr>
              <w:t xml:space="preserve">Relevant banking, accountancy, legal, property or restructuring qualification is desirable but not essential </w:t>
            </w:r>
            <w:proofErr w:type="gramStart"/>
            <w:r>
              <w:rPr>
                <w:sz w:val="22"/>
              </w:rPr>
              <w:t>where</w:t>
            </w:r>
            <w:proofErr w:type="gramEnd"/>
            <w:r>
              <w:rPr>
                <w:sz w:val="22"/>
              </w:rPr>
              <w:t xml:space="preserve"> supported by strong practical experience.</w:t>
            </w:r>
          </w:p>
          <w:p w14:paraId="054F90B7" w14:textId="77777777" w:rsidR="00153CDF" w:rsidRDefault="00153CDF" w:rsidP="00153CDF">
            <w:pPr>
              <w:pStyle w:val="ListParagraph"/>
              <w:numPr>
                <w:ilvl w:val="0"/>
                <w:numId w:val="23"/>
              </w:numPr>
            </w:pPr>
            <w:r>
              <w:rPr>
                <w:sz w:val="22"/>
              </w:rPr>
              <w:t>Experience working with external advisers and critically assessing advice, recommendations, performance and costs.</w:t>
            </w:r>
          </w:p>
          <w:p w14:paraId="586F701B" w14:textId="77777777" w:rsidR="00153CDF" w:rsidRDefault="00153CDF" w:rsidP="00153CDF">
            <w:pPr>
              <w:pStyle w:val="ListParagraph"/>
              <w:numPr>
                <w:ilvl w:val="0"/>
                <w:numId w:val="23"/>
              </w:numPr>
            </w:pPr>
            <w:r>
              <w:rPr>
                <w:sz w:val="22"/>
              </w:rPr>
              <w:t>Opportunity to deepen expertise in recoveries strategy, impairment assessment, stressed credit management and complex stakeholder negotiation.</w:t>
            </w:r>
          </w:p>
          <w:p w14:paraId="462C9B6B" w14:textId="77777777" w:rsidR="00153CDF" w:rsidRDefault="00153CDF">
            <w:pPr>
              <w:pStyle w:val="ListParagraph"/>
              <w:ind w:left="360"/>
              <w:jc w:val="both"/>
              <w:rPr>
                <w:rFonts w:ascii="Calibri" w:hAnsi="Calibri" w:cs="Calibri"/>
              </w:rPr>
            </w:pPr>
            <w:r>
              <w:rPr>
                <w:b/>
                <w:bCs/>
                <w:i/>
                <w:iCs/>
                <w:sz w:val="22"/>
              </w:rPr>
              <w:t>Behavioural (&amp; Leadership) &amp; Cultural Alignment</w:t>
            </w:r>
          </w:p>
          <w:p w14:paraId="38532905" w14:textId="77777777" w:rsidR="00153CDF" w:rsidRDefault="00153CDF" w:rsidP="00153CDF">
            <w:pPr>
              <w:pStyle w:val="ListParagraph"/>
              <w:numPr>
                <w:ilvl w:val="0"/>
                <w:numId w:val="24"/>
              </w:numPr>
            </w:pPr>
            <w:r>
              <w:rPr>
                <w:sz w:val="22"/>
              </w:rPr>
              <w:t>Demonstrates credit judgement, risk analysis and commercial decision making.</w:t>
            </w:r>
          </w:p>
          <w:p w14:paraId="695973CA" w14:textId="77777777" w:rsidR="00153CDF" w:rsidRDefault="00153CDF" w:rsidP="00153CDF">
            <w:pPr>
              <w:pStyle w:val="ListParagraph"/>
              <w:numPr>
                <w:ilvl w:val="0"/>
                <w:numId w:val="24"/>
              </w:numPr>
            </w:pPr>
            <w:r>
              <w:rPr>
                <w:sz w:val="22"/>
              </w:rPr>
              <w:t>Plans and prioritises effectively, maintaining ownership and accountability for case outcomes.</w:t>
            </w:r>
          </w:p>
          <w:p w14:paraId="27BBF775" w14:textId="77777777" w:rsidR="00153CDF" w:rsidRDefault="00153CDF" w:rsidP="00153CDF">
            <w:pPr>
              <w:pStyle w:val="ListParagraph"/>
              <w:numPr>
                <w:ilvl w:val="0"/>
                <w:numId w:val="24"/>
              </w:numPr>
            </w:pPr>
            <w:r>
              <w:rPr>
                <w:sz w:val="22"/>
              </w:rPr>
              <w:t>Influences, negotiates and challenges constructively while building effective stakeholder relationships.</w:t>
            </w:r>
          </w:p>
          <w:p w14:paraId="71110CA2" w14:textId="77777777" w:rsidR="00153CDF" w:rsidRDefault="00153CDF" w:rsidP="00153CDF">
            <w:pPr>
              <w:pStyle w:val="ListParagraph"/>
              <w:numPr>
                <w:ilvl w:val="0"/>
                <w:numId w:val="24"/>
              </w:numPr>
            </w:pPr>
            <w:r>
              <w:rPr>
                <w:sz w:val="22"/>
              </w:rPr>
              <w:t>Communicates clearly and confidently with colleagues, customers, committees and external advisers.</w:t>
            </w:r>
          </w:p>
          <w:p w14:paraId="361E877B" w14:textId="77777777" w:rsidR="00153CDF" w:rsidRDefault="00153CDF" w:rsidP="00153CDF">
            <w:pPr>
              <w:pStyle w:val="ListParagraph"/>
              <w:numPr>
                <w:ilvl w:val="0"/>
                <w:numId w:val="24"/>
              </w:numPr>
            </w:pPr>
            <w:r>
              <w:rPr>
                <w:sz w:val="22"/>
              </w:rPr>
              <w:t>Shows adaptability and resilience in complex, time-sensitive and changing circumstances.</w:t>
            </w:r>
          </w:p>
          <w:p w14:paraId="7CED6062" w14:textId="4C40516D" w:rsidR="00A67885" w:rsidRPr="00153CDF" w:rsidRDefault="00153CDF" w:rsidP="00153CDF">
            <w:pPr>
              <w:pStyle w:val="ListParagraph"/>
              <w:numPr>
                <w:ilvl w:val="0"/>
                <w:numId w:val="24"/>
              </w:numPr>
              <w:rPr>
                <w:b/>
                <w:bCs/>
                <w:i/>
                <w:iCs/>
                <w:sz w:val="22"/>
              </w:rPr>
            </w:pPr>
            <w:r>
              <w:rPr>
                <w:sz w:val="22"/>
              </w:rPr>
              <w:t>Works collaboratively and contributes to the Bank's ambition to be a trusted specialist lender.</w:t>
            </w:r>
          </w:p>
        </w:tc>
      </w:tr>
      <w:tr w:rsidR="002E1841" w:rsidRPr="00BB00E5" w14:paraId="07DFA133" w14:textId="77777777" w:rsidTr="00153CDF">
        <w:trPr>
          <w:trHeight w:val="1431"/>
        </w:trPr>
        <w:tc>
          <w:tcPr>
            <w:tcW w:w="1364" w:type="dxa"/>
          </w:tcPr>
          <w:p w14:paraId="332F74F2" w14:textId="06546250" w:rsidR="002E1841" w:rsidRDefault="00A67885" w:rsidP="002645BE">
            <w:pPr>
              <w:spacing w:after="0" w:line="240" w:lineRule="auto"/>
              <w:rPr>
                <w:rFonts w:asciiTheme="minorHAnsi" w:eastAsiaTheme="minorHAnsi" w:hAnsiTheme="minorHAnsi" w:cs="Shruti"/>
                <w:b/>
                <w:sz w:val="22"/>
                <w:szCs w:val="22"/>
                <w:lang w:val="en-GB"/>
              </w:rPr>
            </w:pPr>
            <w:r>
              <w:rPr>
                <w:rFonts w:asciiTheme="minorHAnsi" w:eastAsiaTheme="minorHAnsi" w:hAnsiTheme="minorHAnsi" w:cs="Shruti"/>
                <w:b/>
                <w:sz w:val="22"/>
                <w:szCs w:val="22"/>
                <w:lang w:val="en-GB"/>
              </w:rPr>
              <w:t xml:space="preserve">Growth &amp; Development  </w:t>
            </w:r>
          </w:p>
        </w:tc>
        <w:tc>
          <w:tcPr>
            <w:tcW w:w="9664" w:type="dxa"/>
            <w:tcMar>
              <w:top w:w="0" w:type="dxa"/>
              <w:left w:w="108" w:type="dxa"/>
              <w:bottom w:w="0" w:type="dxa"/>
              <w:right w:w="108" w:type="dxa"/>
            </w:tcMar>
            <w:hideMark/>
          </w:tcPr>
          <w:p w14:paraId="7B51BEE7" w14:textId="77777777" w:rsidR="00153CDF" w:rsidRDefault="00153CDF">
            <w:pPr>
              <w:pStyle w:val="ListParagraph"/>
              <w:ind w:left="360"/>
              <w:jc w:val="both"/>
              <w:rPr>
                <w:kern w:val="2"/>
                <w:szCs w:val="20"/>
                <w14:ligatures w14:val="standardContextual"/>
              </w:rPr>
            </w:pPr>
            <w:r>
              <w:rPr>
                <w:sz w:val="22"/>
              </w:rPr>
              <w:t>The role offers the opportunity to build deep expertise in the management of higher-risk, distressed and non-performing Real Estate Finance exposures. Development will include exposure to complex recoveries strategies, restructuring and enforcement options, impairment and expected credit loss assessment, stakeholder negotiation and the use of external advisers.</w:t>
            </w:r>
          </w:p>
          <w:p w14:paraId="0A15A672" w14:textId="77777777" w:rsidR="00153CDF" w:rsidRDefault="00153CDF">
            <w:pPr>
              <w:pStyle w:val="ListParagraph"/>
              <w:ind w:left="360"/>
              <w:jc w:val="both"/>
            </w:pPr>
            <w:r>
              <w:rPr>
                <w:sz w:val="22"/>
              </w:rPr>
              <w:t>Over time, the role holder will be expected to contribute to the development of Recoveries procedures, templates, management information, lessons learned and adviser panel effectiveness, while providing practical guidance and constructive challenge to colleagues across Real Estate Finance.</w:t>
            </w:r>
          </w:p>
          <w:p w14:paraId="3EA62B80" w14:textId="7B9F2712" w:rsidR="00D67F5A" w:rsidRPr="00BB00E5" w:rsidRDefault="00153CDF" w:rsidP="00153CDF">
            <w:pPr>
              <w:pStyle w:val="ListParagraph"/>
              <w:ind w:left="360"/>
              <w:jc w:val="both"/>
              <w:rPr>
                <w:rFonts w:cs="Shruti"/>
                <w:b/>
                <w:i/>
                <w:sz w:val="22"/>
              </w:rPr>
            </w:pPr>
            <w:r>
              <w:rPr>
                <w:sz w:val="22"/>
              </w:rPr>
              <w:t>Professional development may include relevant banking, credit, accountancy, legal, property or restructuring learning, aligned to individual capability and business need.</w:t>
            </w:r>
          </w:p>
        </w:tc>
      </w:tr>
    </w:tbl>
    <w:p w14:paraId="16C213A9" w14:textId="77777777" w:rsidR="000A3866" w:rsidRPr="00BB00E5" w:rsidRDefault="000A3866" w:rsidP="003815D2">
      <w:pPr>
        <w:rPr>
          <w:rFonts w:asciiTheme="minorHAnsi" w:hAnsiTheme="minorHAnsi" w:cs="Shruti"/>
        </w:rPr>
      </w:pPr>
    </w:p>
    <w:sectPr w:rsidR="000A3866" w:rsidRPr="00BB00E5" w:rsidSect="002645BE">
      <w:headerReference w:type="even" r:id="rId12"/>
      <w:headerReference w:type="default" r:id="rId13"/>
      <w:footerReference w:type="even" r:id="rId14"/>
      <w:footerReference w:type="default" r:id="rId15"/>
      <w:headerReference w:type="first" r:id="rId16"/>
      <w:footerReference w:type="first" r:id="rId17"/>
      <w:pgSz w:w="12240" w:h="15840"/>
      <w:pgMar w:top="426" w:right="1800" w:bottom="56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1458D" w14:textId="77777777" w:rsidR="00B368AA" w:rsidRDefault="00B368AA" w:rsidP="003815D2">
      <w:pPr>
        <w:spacing w:after="0" w:line="240" w:lineRule="auto"/>
      </w:pPr>
      <w:r>
        <w:separator/>
      </w:r>
    </w:p>
  </w:endnote>
  <w:endnote w:type="continuationSeparator" w:id="0">
    <w:p w14:paraId="4AACD4C7" w14:textId="77777777" w:rsidR="00B368AA" w:rsidRDefault="00B368AA" w:rsidP="00381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notTrueType/>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6F2A" w14:textId="54E53B97" w:rsidR="00B226A7" w:rsidRDefault="00B226A7">
    <w:pPr>
      <w:pStyle w:val="Footer"/>
    </w:pPr>
    <w:r>
      <w:rPr>
        <w:noProof/>
      </w:rPr>
      <mc:AlternateContent>
        <mc:Choice Requires="wps">
          <w:drawing>
            <wp:anchor distT="0" distB="0" distL="0" distR="0" simplePos="0" relativeHeight="251659264" behindDoc="0" locked="0" layoutInCell="1" allowOverlap="1" wp14:anchorId="792BE02D" wp14:editId="675A2910">
              <wp:simplePos x="635" y="635"/>
              <wp:positionH relativeFrom="page">
                <wp:align>right</wp:align>
              </wp:positionH>
              <wp:positionV relativeFrom="page">
                <wp:align>bottom</wp:align>
              </wp:positionV>
              <wp:extent cx="443865" cy="443865"/>
              <wp:effectExtent l="0" t="0" r="0" b="0"/>
              <wp:wrapNone/>
              <wp:docPr id="3" name="Text Box 3" descr="Compan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78F232" w14:textId="1BF0490D"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92BE02D" id="_x0000_t202" coordsize="21600,21600" o:spt="202" path="m,l,21600r21600,l21600,xe">
              <v:stroke joinstyle="miter"/>
              <v:path gradientshapeok="t" o:connecttype="rect"/>
            </v:shapetype>
            <v:shape id="Text Box 3" o:spid="_x0000_s1026" type="#_x0000_t202" alt="Company Confidential" style="position:absolute;margin-left:-16.25pt;margin-top:0;width:34.95pt;height:34.9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5578F232" w14:textId="1BF0490D"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3602" w14:textId="5CC146F0" w:rsidR="003815D2" w:rsidRPr="003815D2" w:rsidRDefault="00B226A7">
    <w:pPr>
      <w:pStyle w:val="Footer"/>
      <w:rPr>
        <w:sz w:val="18"/>
      </w:rPr>
    </w:pPr>
    <w:r>
      <w:rPr>
        <w:noProof/>
        <w:sz w:val="18"/>
      </w:rPr>
      <mc:AlternateContent>
        <mc:Choice Requires="wps">
          <w:drawing>
            <wp:anchor distT="0" distB="0" distL="0" distR="0" simplePos="0" relativeHeight="251660288" behindDoc="0" locked="0" layoutInCell="1" allowOverlap="1" wp14:anchorId="2F33FC02" wp14:editId="7D94603F">
              <wp:simplePos x="1143000" y="9458325"/>
              <wp:positionH relativeFrom="page">
                <wp:align>right</wp:align>
              </wp:positionH>
              <wp:positionV relativeFrom="page">
                <wp:align>bottom</wp:align>
              </wp:positionV>
              <wp:extent cx="443865" cy="443865"/>
              <wp:effectExtent l="0" t="0" r="0" b="0"/>
              <wp:wrapNone/>
              <wp:docPr id="4" name="Text Box 4" descr="Compan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AC29BE" w14:textId="00CA5DDB"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F33FC02" id="_x0000_t202" coordsize="21600,21600" o:spt="202" path="m,l,21600r21600,l21600,xe">
              <v:stroke joinstyle="miter"/>
              <v:path gradientshapeok="t" o:connecttype="rect"/>
            </v:shapetype>
            <v:shape id="Text Box 4" o:spid="_x0000_s1027" type="#_x0000_t202" alt="Company Confidential" style="position:absolute;margin-left:-16.25pt;margin-top:0;width:34.95pt;height:34.9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filled="f" stroked="f">
              <v:textbox style="mso-fit-shape-to-text:t" inset="0,0,20pt,15pt">
                <w:txbxContent>
                  <w:p w14:paraId="6DAC29BE" w14:textId="00CA5DDB"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v:textbox>
              <w10:wrap anchorx="page" anchory="page"/>
            </v:shape>
          </w:pict>
        </mc:Fallback>
      </mc:AlternateContent>
    </w:r>
    <w:r w:rsidR="003815D2" w:rsidRPr="003815D2">
      <w:rPr>
        <w:sz w:val="18"/>
      </w:rPr>
      <w:t xml:space="preserve">Role Profile </w:t>
    </w:r>
    <w:r w:rsidR="007C2AB3">
      <w:rPr>
        <w:sz w:val="18"/>
      </w:rPr>
      <w:t>Senior Manager, Recoveries</w:t>
    </w:r>
    <w:r w:rsidR="003815D2" w:rsidRPr="003815D2">
      <w:rPr>
        <w:sz w:val="18"/>
      </w:rPr>
      <w:ptab w:relativeTo="margin" w:alignment="center" w:leader="none"/>
    </w:r>
    <w:r w:rsidR="003815D2" w:rsidRPr="003815D2">
      <w:rPr>
        <w:sz w:val="18"/>
      </w:rPr>
      <w:t xml:space="preserve">Page </w:t>
    </w:r>
    <w:r w:rsidR="003815D2" w:rsidRPr="003815D2">
      <w:rPr>
        <w:b/>
        <w:bCs/>
        <w:sz w:val="18"/>
      </w:rPr>
      <w:fldChar w:fldCharType="begin"/>
    </w:r>
    <w:r w:rsidR="003815D2" w:rsidRPr="003815D2">
      <w:rPr>
        <w:b/>
        <w:bCs/>
        <w:sz w:val="18"/>
      </w:rPr>
      <w:instrText xml:space="preserve"> PAGE  \* Arabic  \* MERGEFORMAT </w:instrText>
    </w:r>
    <w:r w:rsidR="003815D2" w:rsidRPr="003815D2">
      <w:rPr>
        <w:b/>
        <w:bCs/>
        <w:sz w:val="18"/>
      </w:rPr>
      <w:fldChar w:fldCharType="separate"/>
    </w:r>
    <w:r w:rsidR="00F1571E">
      <w:rPr>
        <w:b/>
        <w:bCs/>
        <w:noProof/>
        <w:sz w:val="18"/>
      </w:rPr>
      <w:t>2</w:t>
    </w:r>
    <w:r w:rsidR="003815D2" w:rsidRPr="003815D2">
      <w:rPr>
        <w:b/>
        <w:bCs/>
        <w:sz w:val="18"/>
      </w:rPr>
      <w:fldChar w:fldCharType="end"/>
    </w:r>
    <w:r w:rsidR="003815D2" w:rsidRPr="003815D2">
      <w:rPr>
        <w:sz w:val="18"/>
      </w:rPr>
      <w:t xml:space="preserve"> of </w:t>
    </w:r>
    <w:r w:rsidR="003815D2" w:rsidRPr="003815D2">
      <w:rPr>
        <w:b/>
        <w:bCs/>
        <w:sz w:val="18"/>
      </w:rPr>
      <w:fldChar w:fldCharType="begin"/>
    </w:r>
    <w:r w:rsidR="003815D2" w:rsidRPr="003815D2">
      <w:rPr>
        <w:b/>
        <w:bCs/>
        <w:sz w:val="18"/>
      </w:rPr>
      <w:instrText xml:space="preserve"> NUMPAGES  \* Arabic  \* MERGEFORMAT </w:instrText>
    </w:r>
    <w:r w:rsidR="003815D2" w:rsidRPr="003815D2">
      <w:rPr>
        <w:b/>
        <w:bCs/>
        <w:sz w:val="18"/>
      </w:rPr>
      <w:fldChar w:fldCharType="separate"/>
    </w:r>
    <w:r w:rsidR="00F1571E">
      <w:rPr>
        <w:b/>
        <w:bCs/>
        <w:noProof/>
        <w:sz w:val="18"/>
      </w:rPr>
      <w:t>2</w:t>
    </w:r>
    <w:r w:rsidR="003815D2" w:rsidRPr="003815D2">
      <w:rPr>
        <w:b/>
        <w:bCs/>
        <w:sz w:val="18"/>
      </w:rPr>
      <w:fldChar w:fldCharType="end"/>
    </w:r>
    <w:r w:rsidR="003815D2" w:rsidRPr="003815D2">
      <w:rPr>
        <w:sz w:val="18"/>
      </w:rPr>
      <w:ptab w:relativeTo="margin" w:alignment="right" w:leader="none"/>
    </w:r>
    <w:r w:rsidR="007C2AB3">
      <w:rPr>
        <w:sz w:val="18"/>
      </w:rPr>
      <w:t>September 2026</w:t>
    </w:r>
    <w:r w:rsidR="003815D2">
      <w:rPr>
        <w:sz w:val="18"/>
      </w:rPr>
      <w:t>– 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E2CA2" w14:textId="3743D4D4" w:rsidR="00B226A7" w:rsidRDefault="00B226A7">
    <w:pPr>
      <w:pStyle w:val="Footer"/>
    </w:pPr>
    <w:r>
      <w:rPr>
        <w:noProof/>
      </w:rPr>
      <mc:AlternateContent>
        <mc:Choice Requires="wps">
          <w:drawing>
            <wp:anchor distT="0" distB="0" distL="0" distR="0" simplePos="0" relativeHeight="251658240" behindDoc="0" locked="0" layoutInCell="1" allowOverlap="1" wp14:anchorId="4048A002" wp14:editId="1A6CC16E">
              <wp:simplePos x="635" y="635"/>
              <wp:positionH relativeFrom="page">
                <wp:align>right</wp:align>
              </wp:positionH>
              <wp:positionV relativeFrom="page">
                <wp:align>bottom</wp:align>
              </wp:positionV>
              <wp:extent cx="443865" cy="443865"/>
              <wp:effectExtent l="0" t="0" r="0" b="0"/>
              <wp:wrapNone/>
              <wp:docPr id="1" name="Text Box 1" descr="Compan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009A2C" w14:textId="2A276878"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048A002" id="_x0000_t202" coordsize="21600,21600" o:spt="202" path="m,l,21600r21600,l21600,xe">
              <v:stroke joinstyle="miter"/>
              <v:path gradientshapeok="t" o:connecttype="rect"/>
            </v:shapetype>
            <v:shape id="Text Box 1" o:spid="_x0000_s1028" type="#_x0000_t202" alt="Company Confidential" style="position:absolute;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OfLEA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" filled="f" stroked="f">
              <v:textbox style="mso-fit-shape-to-text:t" inset="0,0,20pt,15pt">
                <w:txbxContent>
                  <w:p w14:paraId="58009A2C" w14:textId="2A276878"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CDBFB" w14:textId="77777777" w:rsidR="00B368AA" w:rsidRDefault="00B368AA" w:rsidP="003815D2">
      <w:pPr>
        <w:spacing w:after="0" w:line="240" w:lineRule="auto"/>
      </w:pPr>
      <w:r>
        <w:separator/>
      </w:r>
    </w:p>
  </w:footnote>
  <w:footnote w:type="continuationSeparator" w:id="0">
    <w:p w14:paraId="3C87E5BD" w14:textId="77777777" w:rsidR="00B368AA" w:rsidRDefault="00B368AA" w:rsidP="00381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A3D3E" w14:textId="77777777" w:rsidR="002B498E" w:rsidRDefault="002B4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B9C88" w14:textId="77777777" w:rsidR="002B498E" w:rsidRDefault="002B49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7F5A" w14:textId="77777777" w:rsidR="002B498E" w:rsidRDefault="002B4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A88E9D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1F820FE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5534004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2396BB1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A4D53A4"/>
    <w:multiLevelType w:val="multilevel"/>
    <w:tmpl w:val="23CA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000212"/>
    <w:multiLevelType w:val="hybridMultilevel"/>
    <w:tmpl w:val="4F9A5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910D43"/>
    <w:multiLevelType w:val="multilevel"/>
    <w:tmpl w:val="C80E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2958BF"/>
    <w:multiLevelType w:val="multilevel"/>
    <w:tmpl w:val="9CD8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B1493A"/>
    <w:multiLevelType w:val="hybridMultilevel"/>
    <w:tmpl w:val="F5CA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181EA8"/>
    <w:multiLevelType w:val="multilevel"/>
    <w:tmpl w:val="72B6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3B69FA"/>
    <w:multiLevelType w:val="multilevel"/>
    <w:tmpl w:val="BCC8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C76A01"/>
    <w:multiLevelType w:val="hybridMultilevel"/>
    <w:tmpl w:val="FD3A5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821029B"/>
    <w:multiLevelType w:val="hybridMultilevel"/>
    <w:tmpl w:val="3294C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83F1452"/>
    <w:multiLevelType w:val="hybridMultilevel"/>
    <w:tmpl w:val="5EB23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4279A6"/>
    <w:multiLevelType w:val="multilevel"/>
    <w:tmpl w:val="4314A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0E2B4E"/>
    <w:multiLevelType w:val="hybridMultilevel"/>
    <w:tmpl w:val="FF4E1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9E81211"/>
    <w:multiLevelType w:val="multilevel"/>
    <w:tmpl w:val="77FA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583FDD"/>
    <w:multiLevelType w:val="multilevel"/>
    <w:tmpl w:val="AA56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DF6EF4"/>
    <w:multiLevelType w:val="multilevel"/>
    <w:tmpl w:val="8FCAD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1B611C"/>
    <w:multiLevelType w:val="hybridMultilevel"/>
    <w:tmpl w:val="4F84E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8262B6"/>
    <w:multiLevelType w:val="multilevel"/>
    <w:tmpl w:val="60DC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9818E1"/>
    <w:multiLevelType w:val="hybridMultilevel"/>
    <w:tmpl w:val="4BF44B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8DB7957"/>
    <w:multiLevelType w:val="multilevel"/>
    <w:tmpl w:val="A6AE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6333F4"/>
    <w:multiLevelType w:val="multilevel"/>
    <w:tmpl w:val="BC16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140EAE"/>
    <w:multiLevelType w:val="hybridMultilevel"/>
    <w:tmpl w:val="72349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3962068"/>
    <w:multiLevelType w:val="hybridMultilevel"/>
    <w:tmpl w:val="FC72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6520030">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959334738">
    <w:abstractNumId w:val="22"/>
  </w:num>
  <w:num w:numId="3" w16cid:durableId="1441022960">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647707640">
    <w:abstractNumId w:val="3"/>
  </w:num>
  <w:num w:numId="5" w16cid:durableId="674649640">
    <w:abstractNumId w:val="2"/>
  </w:num>
  <w:num w:numId="6" w16cid:durableId="639462169">
    <w:abstractNumId w:val="1"/>
  </w:num>
  <w:num w:numId="7" w16cid:durableId="1299409579">
    <w:abstractNumId w:val="0"/>
  </w:num>
  <w:num w:numId="8" w16cid:durableId="1556159711">
    <w:abstractNumId w:val="12"/>
  </w:num>
  <w:num w:numId="9" w16cid:durableId="1457486805">
    <w:abstractNumId w:val="13"/>
  </w:num>
  <w:num w:numId="10" w16cid:durableId="41754673">
    <w:abstractNumId w:val="25"/>
  </w:num>
  <w:num w:numId="11" w16cid:durableId="445538269">
    <w:abstractNumId w:val="16"/>
  </w:num>
  <w:num w:numId="12" w16cid:durableId="536554209">
    <w:abstractNumId w:val="20"/>
  </w:num>
  <w:num w:numId="13" w16cid:durableId="776026055">
    <w:abstractNumId w:val="6"/>
  </w:num>
  <w:num w:numId="14" w16cid:durableId="1618294395">
    <w:abstractNumId w:val="21"/>
  </w:num>
  <w:num w:numId="15" w16cid:durableId="1328633771">
    <w:abstractNumId w:val="9"/>
  </w:num>
  <w:num w:numId="16" w16cid:durableId="2071687598">
    <w:abstractNumId w:val="26"/>
  </w:num>
  <w:num w:numId="17" w16cid:durableId="488907091">
    <w:abstractNumId w:val="14"/>
  </w:num>
  <w:num w:numId="18" w16cid:durableId="1676683839">
    <w:abstractNumId w:val="10"/>
  </w:num>
  <w:num w:numId="19" w16cid:durableId="517736702">
    <w:abstractNumId w:val="17"/>
  </w:num>
  <w:num w:numId="20" w16cid:durableId="77605785">
    <w:abstractNumId w:val="7"/>
  </w:num>
  <w:num w:numId="21" w16cid:durableId="1943294335">
    <w:abstractNumId w:val="15"/>
  </w:num>
  <w:num w:numId="22" w16cid:durableId="63187298">
    <w:abstractNumId w:val="11"/>
  </w:num>
  <w:num w:numId="23" w16cid:durableId="1008946926">
    <w:abstractNumId w:val="18"/>
  </w:num>
  <w:num w:numId="24" w16cid:durableId="1651207353">
    <w:abstractNumId w:val="19"/>
  </w:num>
  <w:num w:numId="25" w16cid:durableId="878467446">
    <w:abstractNumId w:val="5"/>
  </w:num>
  <w:num w:numId="26" w16cid:durableId="637994935">
    <w:abstractNumId w:val="8"/>
  </w:num>
  <w:num w:numId="27" w16cid:durableId="182982603">
    <w:abstractNumId w:val="23"/>
  </w:num>
  <w:num w:numId="28" w16cid:durableId="552079509">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EE8"/>
    <w:rsid w:val="00000F6F"/>
    <w:rsid w:val="00010989"/>
    <w:rsid w:val="00016BAC"/>
    <w:rsid w:val="000255F2"/>
    <w:rsid w:val="000501C0"/>
    <w:rsid w:val="00051A30"/>
    <w:rsid w:val="00051AE2"/>
    <w:rsid w:val="00057DD9"/>
    <w:rsid w:val="000A063A"/>
    <w:rsid w:val="000A2288"/>
    <w:rsid w:val="000A3866"/>
    <w:rsid w:val="000A5BB6"/>
    <w:rsid w:val="000B2AD5"/>
    <w:rsid w:val="000B3B37"/>
    <w:rsid w:val="000C09E2"/>
    <w:rsid w:val="000C1CA2"/>
    <w:rsid w:val="000D4EE8"/>
    <w:rsid w:val="000E1675"/>
    <w:rsid w:val="000F64F3"/>
    <w:rsid w:val="000F6C5A"/>
    <w:rsid w:val="00114FFD"/>
    <w:rsid w:val="001161A6"/>
    <w:rsid w:val="00122916"/>
    <w:rsid w:val="00133F4C"/>
    <w:rsid w:val="00147984"/>
    <w:rsid w:val="00153CDF"/>
    <w:rsid w:val="0016561C"/>
    <w:rsid w:val="00175D1B"/>
    <w:rsid w:val="001870D9"/>
    <w:rsid w:val="00194580"/>
    <w:rsid w:val="001A1230"/>
    <w:rsid w:val="001B23F7"/>
    <w:rsid w:val="001E6B7D"/>
    <w:rsid w:val="001F00F7"/>
    <w:rsid w:val="00201A3C"/>
    <w:rsid w:val="00204167"/>
    <w:rsid w:val="002070CF"/>
    <w:rsid w:val="00215392"/>
    <w:rsid w:val="00246B72"/>
    <w:rsid w:val="00246C51"/>
    <w:rsid w:val="00250317"/>
    <w:rsid w:val="002508ED"/>
    <w:rsid w:val="00250EFA"/>
    <w:rsid w:val="00250FCB"/>
    <w:rsid w:val="002645BE"/>
    <w:rsid w:val="002649C8"/>
    <w:rsid w:val="00284ECB"/>
    <w:rsid w:val="00286429"/>
    <w:rsid w:val="002A09DF"/>
    <w:rsid w:val="002B272E"/>
    <w:rsid w:val="002B498E"/>
    <w:rsid w:val="002E1841"/>
    <w:rsid w:val="002F4DFF"/>
    <w:rsid w:val="00311A86"/>
    <w:rsid w:val="00320865"/>
    <w:rsid w:val="003274F9"/>
    <w:rsid w:val="00331D6A"/>
    <w:rsid w:val="003358C3"/>
    <w:rsid w:val="00366455"/>
    <w:rsid w:val="00372CBD"/>
    <w:rsid w:val="003815D2"/>
    <w:rsid w:val="00387916"/>
    <w:rsid w:val="003A387D"/>
    <w:rsid w:val="003B1453"/>
    <w:rsid w:val="003D2494"/>
    <w:rsid w:val="003E27D3"/>
    <w:rsid w:val="003F11D6"/>
    <w:rsid w:val="00403636"/>
    <w:rsid w:val="00403BAB"/>
    <w:rsid w:val="004060F8"/>
    <w:rsid w:val="00410D7C"/>
    <w:rsid w:val="0042497F"/>
    <w:rsid w:val="0043497B"/>
    <w:rsid w:val="004635A5"/>
    <w:rsid w:val="0046590B"/>
    <w:rsid w:val="00467150"/>
    <w:rsid w:val="004727F8"/>
    <w:rsid w:val="00472C37"/>
    <w:rsid w:val="00496585"/>
    <w:rsid w:val="004B0050"/>
    <w:rsid w:val="00506FE0"/>
    <w:rsid w:val="00510482"/>
    <w:rsid w:val="00515D88"/>
    <w:rsid w:val="00517BAC"/>
    <w:rsid w:val="00522F64"/>
    <w:rsid w:val="005405EC"/>
    <w:rsid w:val="005440E1"/>
    <w:rsid w:val="0054564A"/>
    <w:rsid w:val="00567D92"/>
    <w:rsid w:val="00576989"/>
    <w:rsid w:val="00592803"/>
    <w:rsid w:val="005961D0"/>
    <w:rsid w:val="005A2901"/>
    <w:rsid w:val="005A2F6A"/>
    <w:rsid w:val="005D448D"/>
    <w:rsid w:val="005D6698"/>
    <w:rsid w:val="00607FF6"/>
    <w:rsid w:val="006102BF"/>
    <w:rsid w:val="00625B9E"/>
    <w:rsid w:val="00637D6A"/>
    <w:rsid w:val="00651DB0"/>
    <w:rsid w:val="0065233C"/>
    <w:rsid w:val="0068188E"/>
    <w:rsid w:val="006A5F77"/>
    <w:rsid w:val="006B37AE"/>
    <w:rsid w:val="006C54A0"/>
    <w:rsid w:val="007130C5"/>
    <w:rsid w:val="007323C5"/>
    <w:rsid w:val="00743153"/>
    <w:rsid w:val="0074629C"/>
    <w:rsid w:val="00754573"/>
    <w:rsid w:val="00765C0E"/>
    <w:rsid w:val="00770FC6"/>
    <w:rsid w:val="00775132"/>
    <w:rsid w:val="0078337A"/>
    <w:rsid w:val="0079362B"/>
    <w:rsid w:val="00795652"/>
    <w:rsid w:val="007A7FF1"/>
    <w:rsid w:val="007C2AB3"/>
    <w:rsid w:val="0081467D"/>
    <w:rsid w:val="00821304"/>
    <w:rsid w:val="00841AC5"/>
    <w:rsid w:val="008446F3"/>
    <w:rsid w:val="00860CA4"/>
    <w:rsid w:val="00884D7C"/>
    <w:rsid w:val="00886D59"/>
    <w:rsid w:val="00895628"/>
    <w:rsid w:val="008A5B48"/>
    <w:rsid w:val="008D2337"/>
    <w:rsid w:val="008D5791"/>
    <w:rsid w:val="008D5EAF"/>
    <w:rsid w:val="008F0F52"/>
    <w:rsid w:val="00921387"/>
    <w:rsid w:val="00926FCE"/>
    <w:rsid w:val="0092782B"/>
    <w:rsid w:val="00932DD3"/>
    <w:rsid w:val="00940F76"/>
    <w:rsid w:val="009602E6"/>
    <w:rsid w:val="009610CA"/>
    <w:rsid w:val="009805FD"/>
    <w:rsid w:val="00986117"/>
    <w:rsid w:val="00996363"/>
    <w:rsid w:val="009E075F"/>
    <w:rsid w:val="009E6C61"/>
    <w:rsid w:val="00A6514B"/>
    <w:rsid w:val="00A67885"/>
    <w:rsid w:val="00A819EB"/>
    <w:rsid w:val="00A97DF7"/>
    <w:rsid w:val="00AC772B"/>
    <w:rsid w:val="00B05260"/>
    <w:rsid w:val="00B156C6"/>
    <w:rsid w:val="00B226A7"/>
    <w:rsid w:val="00B368AA"/>
    <w:rsid w:val="00B373CA"/>
    <w:rsid w:val="00B66578"/>
    <w:rsid w:val="00B66797"/>
    <w:rsid w:val="00B9637A"/>
    <w:rsid w:val="00BA5B79"/>
    <w:rsid w:val="00BB00E5"/>
    <w:rsid w:val="00BC64F4"/>
    <w:rsid w:val="00BD16D8"/>
    <w:rsid w:val="00BD27F1"/>
    <w:rsid w:val="00BD76D5"/>
    <w:rsid w:val="00BF716C"/>
    <w:rsid w:val="00C00A43"/>
    <w:rsid w:val="00C012C6"/>
    <w:rsid w:val="00C03500"/>
    <w:rsid w:val="00C06656"/>
    <w:rsid w:val="00C375A2"/>
    <w:rsid w:val="00C37F2F"/>
    <w:rsid w:val="00C75B03"/>
    <w:rsid w:val="00C91BAB"/>
    <w:rsid w:val="00C96197"/>
    <w:rsid w:val="00CA25CD"/>
    <w:rsid w:val="00CB65D9"/>
    <w:rsid w:val="00CC5F3F"/>
    <w:rsid w:val="00CE0014"/>
    <w:rsid w:val="00CE1FC7"/>
    <w:rsid w:val="00D04320"/>
    <w:rsid w:val="00D2056F"/>
    <w:rsid w:val="00D27900"/>
    <w:rsid w:val="00D30CD1"/>
    <w:rsid w:val="00D53801"/>
    <w:rsid w:val="00D67F5A"/>
    <w:rsid w:val="00D9692A"/>
    <w:rsid w:val="00D9711F"/>
    <w:rsid w:val="00DE3962"/>
    <w:rsid w:val="00E11D70"/>
    <w:rsid w:val="00E20D61"/>
    <w:rsid w:val="00E36651"/>
    <w:rsid w:val="00E37B9E"/>
    <w:rsid w:val="00E62122"/>
    <w:rsid w:val="00E660AC"/>
    <w:rsid w:val="00E81F00"/>
    <w:rsid w:val="00E96053"/>
    <w:rsid w:val="00EB1929"/>
    <w:rsid w:val="00EE1304"/>
    <w:rsid w:val="00EE2BAB"/>
    <w:rsid w:val="00F0159F"/>
    <w:rsid w:val="00F068AA"/>
    <w:rsid w:val="00F12BC8"/>
    <w:rsid w:val="00F1571E"/>
    <w:rsid w:val="00F15C69"/>
    <w:rsid w:val="00F17483"/>
    <w:rsid w:val="00F24B36"/>
    <w:rsid w:val="00F261CE"/>
    <w:rsid w:val="00F27AD4"/>
    <w:rsid w:val="00F33904"/>
    <w:rsid w:val="00F565D6"/>
    <w:rsid w:val="00F60B64"/>
    <w:rsid w:val="00F84AD1"/>
    <w:rsid w:val="00FA2D82"/>
    <w:rsid w:val="00FD6694"/>
    <w:rsid w:val="00FF5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5D80F"/>
  <w15:docId w15:val="{EE5AF2F8-FDEE-416C-84C5-3FB7612CB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D70"/>
    <w:pPr>
      <w:spacing w:after="200" w:line="276" w:lineRule="auto"/>
    </w:pPr>
    <w:rPr>
      <w:sz w:val="24"/>
      <w:szCs w:val="24"/>
      <w:lang w:val="en-US" w:eastAsia="en-US"/>
    </w:rPr>
  </w:style>
  <w:style w:type="paragraph" w:styleId="Heading1">
    <w:name w:val="heading 1"/>
    <w:basedOn w:val="Normal"/>
    <w:link w:val="Heading1Char"/>
    <w:uiPriority w:val="9"/>
    <w:qFormat/>
    <w:rsid w:val="000A3866"/>
    <w:pPr>
      <w:spacing w:before="100" w:beforeAutospacing="1" w:after="100" w:afterAutospacing="1" w:line="240" w:lineRule="auto"/>
      <w:outlineLvl w:val="0"/>
    </w:pPr>
    <w:rPr>
      <w:rFonts w:ascii="Times New Roman" w:eastAsia="Times New Roman" w:hAnsi="Times New Roman"/>
      <w:kern w:val="36"/>
      <w:lang w:val="en-GB" w:eastAsia="en-GB"/>
    </w:rPr>
  </w:style>
  <w:style w:type="paragraph" w:styleId="Heading2">
    <w:name w:val="heading 2"/>
    <w:basedOn w:val="Normal"/>
    <w:next w:val="Normal"/>
    <w:link w:val="Heading2Char"/>
    <w:uiPriority w:val="1"/>
    <w:qFormat/>
    <w:rsid w:val="004671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qFormat/>
    <w:rsid w:val="002B498E"/>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1"/>
    <w:semiHidden/>
    <w:unhideWhenUsed/>
    <w:qFormat/>
    <w:rsid w:val="002B498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1"/>
    <w:semiHidden/>
    <w:unhideWhenUsed/>
    <w:qFormat/>
    <w:rsid w:val="002B498E"/>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1"/>
    <w:semiHidden/>
    <w:unhideWhenUsed/>
    <w:qFormat/>
    <w:rsid w:val="002B498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1"/>
    <w:semiHidden/>
    <w:unhideWhenUsed/>
    <w:qFormat/>
    <w:rsid w:val="002B498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1"/>
    <w:semiHidden/>
    <w:unhideWhenUsed/>
    <w:qFormat/>
    <w:rsid w:val="002B498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unhideWhenUsed/>
    <w:qFormat/>
    <w:rsid w:val="002B498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5BE"/>
    <w:pPr>
      <w:spacing w:after="0" w:line="240" w:lineRule="auto"/>
      <w:ind w:left="720"/>
      <w:contextualSpacing/>
    </w:pPr>
    <w:rPr>
      <w:rFonts w:asciiTheme="minorHAnsi" w:eastAsiaTheme="minorHAnsi" w:hAnsiTheme="minorHAnsi" w:cstheme="minorBidi"/>
      <w:sz w:val="20"/>
      <w:szCs w:val="22"/>
      <w:lang w:val="en-GB"/>
    </w:rPr>
  </w:style>
  <w:style w:type="table" w:styleId="TableGrid">
    <w:name w:val="Table Grid"/>
    <w:basedOn w:val="TableNormal"/>
    <w:uiPriority w:val="59"/>
    <w:rsid w:val="002645B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522F64"/>
    <w:rPr>
      <w:sz w:val="16"/>
      <w:szCs w:val="16"/>
    </w:rPr>
  </w:style>
  <w:style w:type="paragraph" w:styleId="CommentText">
    <w:name w:val="annotation text"/>
    <w:basedOn w:val="Normal"/>
    <w:link w:val="CommentTextChar"/>
    <w:uiPriority w:val="99"/>
    <w:semiHidden/>
    <w:unhideWhenUsed/>
    <w:rsid w:val="00522F64"/>
    <w:rPr>
      <w:sz w:val="20"/>
      <w:szCs w:val="20"/>
    </w:rPr>
  </w:style>
  <w:style w:type="character" w:customStyle="1" w:styleId="CommentTextChar">
    <w:name w:val="Comment Text Char"/>
    <w:basedOn w:val="DefaultParagraphFont"/>
    <w:link w:val="CommentText"/>
    <w:uiPriority w:val="99"/>
    <w:semiHidden/>
    <w:rsid w:val="00522F64"/>
    <w:rPr>
      <w:lang w:val="en-US" w:eastAsia="en-US"/>
    </w:rPr>
  </w:style>
  <w:style w:type="paragraph" w:styleId="CommentSubject">
    <w:name w:val="annotation subject"/>
    <w:basedOn w:val="CommentText"/>
    <w:next w:val="CommentText"/>
    <w:link w:val="CommentSubjectChar"/>
    <w:uiPriority w:val="99"/>
    <w:semiHidden/>
    <w:unhideWhenUsed/>
    <w:rsid w:val="00522F64"/>
    <w:rPr>
      <w:b/>
      <w:bCs/>
    </w:rPr>
  </w:style>
  <w:style w:type="character" w:customStyle="1" w:styleId="CommentSubjectChar">
    <w:name w:val="Comment Subject Char"/>
    <w:basedOn w:val="CommentTextChar"/>
    <w:link w:val="CommentSubject"/>
    <w:uiPriority w:val="99"/>
    <w:semiHidden/>
    <w:rsid w:val="00522F64"/>
    <w:rPr>
      <w:b/>
      <w:bCs/>
      <w:lang w:val="en-US" w:eastAsia="en-US"/>
    </w:rPr>
  </w:style>
  <w:style w:type="paragraph" w:styleId="BalloonText">
    <w:name w:val="Balloon Text"/>
    <w:basedOn w:val="Normal"/>
    <w:link w:val="BalloonTextChar"/>
    <w:semiHidden/>
    <w:unhideWhenUsed/>
    <w:rsid w:val="00522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F64"/>
    <w:rPr>
      <w:rFonts w:ascii="Tahoma" w:hAnsi="Tahoma" w:cs="Tahoma"/>
      <w:sz w:val="16"/>
      <w:szCs w:val="16"/>
      <w:lang w:val="en-US" w:eastAsia="en-US"/>
    </w:rPr>
  </w:style>
  <w:style w:type="character" w:customStyle="1" w:styleId="Heading1Char">
    <w:name w:val="Heading 1 Char"/>
    <w:basedOn w:val="DefaultParagraphFont"/>
    <w:link w:val="Heading1"/>
    <w:uiPriority w:val="9"/>
    <w:rsid w:val="000A3866"/>
    <w:rPr>
      <w:rFonts w:ascii="Times New Roman" w:eastAsia="Times New Roman" w:hAnsi="Times New Roman"/>
      <w:kern w:val="36"/>
      <w:sz w:val="24"/>
      <w:szCs w:val="24"/>
    </w:rPr>
  </w:style>
  <w:style w:type="character" w:styleId="Strong">
    <w:name w:val="Strong"/>
    <w:basedOn w:val="DefaultParagraphFont"/>
    <w:uiPriority w:val="22"/>
    <w:qFormat/>
    <w:rsid w:val="000A3866"/>
    <w:rPr>
      <w:b/>
      <w:bCs/>
      <w:i w:val="0"/>
      <w:iCs w:val="0"/>
    </w:rPr>
  </w:style>
  <w:style w:type="paragraph" w:styleId="NormalWeb">
    <w:name w:val="Normal (Web)"/>
    <w:basedOn w:val="Normal"/>
    <w:uiPriority w:val="99"/>
    <w:semiHidden/>
    <w:unhideWhenUsed/>
    <w:rsid w:val="000A3866"/>
    <w:pPr>
      <w:spacing w:before="100" w:beforeAutospacing="1" w:after="100" w:afterAutospacing="1" w:line="240" w:lineRule="auto"/>
    </w:pPr>
    <w:rPr>
      <w:rFonts w:ascii="Times New Roman" w:eastAsia="Times New Roman" w:hAnsi="Times New Roman"/>
      <w:lang w:val="en-GB" w:eastAsia="en-GB"/>
    </w:rPr>
  </w:style>
  <w:style w:type="character" w:customStyle="1" w:styleId="Heading2Char">
    <w:name w:val="Heading 2 Char"/>
    <w:basedOn w:val="DefaultParagraphFont"/>
    <w:link w:val="Heading2"/>
    <w:uiPriority w:val="1"/>
    <w:rsid w:val="00467150"/>
    <w:rPr>
      <w:rFonts w:asciiTheme="majorHAnsi" w:eastAsiaTheme="majorEastAsia" w:hAnsiTheme="majorHAnsi" w:cstheme="majorBidi"/>
      <w:b/>
      <w:bCs/>
      <w:color w:val="4F81BD" w:themeColor="accent1"/>
      <w:sz w:val="26"/>
      <w:szCs w:val="26"/>
      <w:lang w:val="en-US" w:eastAsia="en-US"/>
    </w:rPr>
  </w:style>
  <w:style w:type="paragraph" w:customStyle="1" w:styleId="Maintext">
    <w:name w:val="Main text"/>
    <w:basedOn w:val="Normal"/>
    <w:rsid w:val="0042497F"/>
    <w:pPr>
      <w:spacing w:after="120" w:line="240" w:lineRule="auto"/>
      <w:jc w:val="both"/>
    </w:pPr>
    <w:rPr>
      <w:rFonts w:ascii="Times New Roman" w:eastAsiaTheme="minorHAnsi" w:hAnsi="Times New Roman"/>
      <w:lang w:val="en-GB" w:eastAsia="en-GB"/>
    </w:rPr>
  </w:style>
  <w:style w:type="character" w:styleId="Hyperlink">
    <w:name w:val="Hyperlink"/>
    <w:basedOn w:val="DefaultParagraphFont"/>
    <w:uiPriority w:val="99"/>
    <w:semiHidden/>
    <w:unhideWhenUsed/>
    <w:rsid w:val="00057DD9"/>
    <w:rPr>
      <w:strike w:val="0"/>
      <w:dstrike w:val="0"/>
      <w:color w:val="777779"/>
      <w:u w:val="none"/>
      <w:effect w:val="none"/>
    </w:rPr>
  </w:style>
  <w:style w:type="paragraph" w:styleId="Header">
    <w:name w:val="header"/>
    <w:basedOn w:val="Normal"/>
    <w:link w:val="HeaderChar"/>
    <w:uiPriority w:val="99"/>
    <w:rsid w:val="00932DD3"/>
    <w:pPr>
      <w:tabs>
        <w:tab w:val="center" w:pos="4153"/>
        <w:tab w:val="right" w:pos="8306"/>
      </w:tabs>
      <w:spacing w:after="0" w:line="240" w:lineRule="auto"/>
    </w:pPr>
    <w:rPr>
      <w:rFonts w:ascii="Times New Roman" w:eastAsia="Times New Roman" w:hAnsi="Times New Roman"/>
      <w:sz w:val="20"/>
      <w:szCs w:val="20"/>
      <w:lang w:val="en-GB"/>
    </w:rPr>
  </w:style>
  <w:style w:type="character" w:customStyle="1" w:styleId="HeaderChar">
    <w:name w:val="Header Char"/>
    <w:basedOn w:val="DefaultParagraphFont"/>
    <w:link w:val="Header"/>
    <w:uiPriority w:val="99"/>
    <w:rsid w:val="00932DD3"/>
    <w:rPr>
      <w:rFonts w:ascii="Times New Roman" w:eastAsia="Times New Roman" w:hAnsi="Times New Roman"/>
      <w:lang w:eastAsia="en-US"/>
    </w:rPr>
  </w:style>
  <w:style w:type="paragraph" w:styleId="Footer">
    <w:name w:val="footer"/>
    <w:basedOn w:val="Normal"/>
    <w:link w:val="FooterChar"/>
    <w:uiPriority w:val="99"/>
    <w:unhideWhenUsed/>
    <w:rsid w:val="00381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5D2"/>
    <w:rPr>
      <w:sz w:val="24"/>
      <w:szCs w:val="24"/>
      <w:lang w:val="en-US" w:eastAsia="en-US"/>
    </w:rPr>
  </w:style>
  <w:style w:type="character" w:styleId="BookTitle">
    <w:name w:val="Book Title"/>
    <w:basedOn w:val="DefaultParagraphFont"/>
    <w:uiPriority w:val="33"/>
    <w:qFormat/>
    <w:rsid w:val="002B498E"/>
    <w:rPr>
      <w:b/>
      <w:bCs/>
      <w:i/>
      <w:iCs/>
      <w:spacing w:val="5"/>
    </w:rPr>
  </w:style>
  <w:style w:type="paragraph" w:styleId="Caption">
    <w:name w:val="caption"/>
    <w:basedOn w:val="Normal"/>
    <w:next w:val="Normal"/>
    <w:uiPriority w:val="99"/>
    <w:semiHidden/>
    <w:unhideWhenUsed/>
    <w:rsid w:val="002B498E"/>
    <w:pPr>
      <w:spacing w:line="240" w:lineRule="auto"/>
    </w:pPr>
    <w:rPr>
      <w:i/>
      <w:iCs/>
      <w:color w:val="1F497D" w:themeColor="text2"/>
      <w:sz w:val="18"/>
      <w:szCs w:val="18"/>
    </w:rPr>
  </w:style>
  <w:style w:type="character" w:styleId="Emphasis">
    <w:name w:val="Emphasis"/>
    <w:basedOn w:val="DefaultParagraphFont"/>
    <w:uiPriority w:val="2"/>
    <w:qFormat/>
    <w:rsid w:val="002B498E"/>
    <w:rPr>
      <w:i/>
      <w:iCs/>
    </w:rPr>
  </w:style>
  <w:style w:type="character" w:customStyle="1" w:styleId="Heading3Char">
    <w:name w:val="Heading 3 Char"/>
    <w:basedOn w:val="DefaultParagraphFont"/>
    <w:link w:val="Heading3"/>
    <w:uiPriority w:val="1"/>
    <w:rsid w:val="002B498E"/>
    <w:rPr>
      <w:rFonts w:asciiTheme="majorHAnsi" w:eastAsiaTheme="majorEastAsia" w:hAnsiTheme="majorHAnsi" w:cstheme="majorBidi"/>
      <w:color w:val="243F60" w:themeColor="accent1" w:themeShade="7F"/>
      <w:sz w:val="24"/>
      <w:szCs w:val="24"/>
      <w:lang w:val="en-US" w:eastAsia="en-US"/>
    </w:rPr>
  </w:style>
  <w:style w:type="character" w:customStyle="1" w:styleId="Heading4Char">
    <w:name w:val="Heading 4 Char"/>
    <w:basedOn w:val="DefaultParagraphFont"/>
    <w:link w:val="Heading4"/>
    <w:uiPriority w:val="1"/>
    <w:semiHidden/>
    <w:rsid w:val="002B498E"/>
    <w:rPr>
      <w:rFonts w:asciiTheme="majorHAnsi" w:eastAsiaTheme="majorEastAsia" w:hAnsiTheme="majorHAnsi" w:cstheme="majorBidi"/>
      <w:i/>
      <w:iCs/>
      <w:color w:val="365F91" w:themeColor="accent1" w:themeShade="BF"/>
      <w:sz w:val="24"/>
      <w:szCs w:val="24"/>
      <w:lang w:val="en-US" w:eastAsia="en-US"/>
    </w:rPr>
  </w:style>
  <w:style w:type="character" w:customStyle="1" w:styleId="Heading5Char">
    <w:name w:val="Heading 5 Char"/>
    <w:basedOn w:val="DefaultParagraphFont"/>
    <w:link w:val="Heading5"/>
    <w:uiPriority w:val="1"/>
    <w:semiHidden/>
    <w:rsid w:val="002B498E"/>
    <w:rPr>
      <w:rFonts w:asciiTheme="majorHAnsi" w:eastAsiaTheme="majorEastAsia" w:hAnsiTheme="majorHAnsi" w:cstheme="majorBidi"/>
      <w:color w:val="365F91" w:themeColor="accent1" w:themeShade="BF"/>
      <w:sz w:val="24"/>
      <w:szCs w:val="24"/>
      <w:lang w:val="en-US" w:eastAsia="en-US"/>
    </w:rPr>
  </w:style>
  <w:style w:type="character" w:customStyle="1" w:styleId="Heading6Char">
    <w:name w:val="Heading 6 Char"/>
    <w:basedOn w:val="DefaultParagraphFont"/>
    <w:link w:val="Heading6"/>
    <w:uiPriority w:val="1"/>
    <w:semiHidden/>
    <w:rsid w:val="002B498E"/>
    <w:rPr>
      <w:rFonts w:asciiTheme="majorHAnsi" w:eastAsiaTheme="majorEastAsia" w:hAnsiTheme="majorHAnsi" w:cstheme="majorBidi"/>
      <w:color w:val="243F60" w:themeColor="accent1" w:themeShade="7F"/>
      <w:sz w:val="24"/>
      <w:szCs w:val="24"/>
      <w:lang w:val="en-US" w:eastAsia="en-US"/>
    </w:rPr>
  </w:style>
  <w:style w:type="character" w:customStyle="1" w:styleId="Heading7Char">
    <w:name w:val="Heading 7 Char"/>
    <w:basedOn w:val="DefaultParagraphFont"/>
    <w:link w:val="Heading7"/>
    <w:uiPriority w:val="1"/>
    <w:semiHidden/>
    <w:rsid w:val="002B498E"/>
    <w:rPr>
      <w:rFonts w:asciiTheme="majorHAnsi" w:eastAsiaTheme="majorEastAsia" w:hAnsiTheme="majorHAnsi" w:cstheme="majorBidi"/>
      <w:i/>
      <w:iCs/>
      <w:color w:val="243F60" w:themeColor="accent1" w:themeShade="7F"/>
      <w:sz w:val="24"/>
      <w:szCs w:val="24"/>
      <w:lang w:val="en-US" w:eastAsia="en-US"/>
    </w:rPr>
  </w:style>
  <w:style w:type="character" w:customStyle="1" w:styleId="Heading8Char">
    <w:name w:val="Heading 8 Char"/>
    <w:basedOn w:val="DefaultParagraphFont"/>
    <w:link w:val="Heading8"/>
    <w:uiPriority w:val="1"/>
    <w:semiHidden/>
    <w:rsid w:val="002B498E"/>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1"/>
    <w:semiHidden/>
    <w:rsid w:val="002B498E"/>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2B498E"/>
    <w:rPr>
      <w:i/>
      <w:iCs/>
      <w:color w:val="4F81BD" w:themeColor="accent1"/>
    </w:rPr>
  </w:style>
  <w:style w:type="paragraph" w:styleId="IntenseQuote">
    <w:name w:val="Intense Quote"/>
    <w:basedOn w:val="Normal"/>
    <w:next w:val="Normal"/>
    <w:link w:val="IntenseQuoteChar"/>
    <w:uiPriority w:val="30"/>
    <w:qFormat/>
    <w:rsid w:val="002B498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B498E"/>
    <w:rPr>
      <w:i/>
      <w:iCs/>
      <w:color w:val="4F81BD" w:themeColor="accent1"/>
      <w:sz w:val="24"/>
      <w:szCs w:val="24"/>
      <w:lang w:val="en-US" w:eastAsia="en-US"/>
    </w:rPr>
  </w:style>
  <w:style w:type="character" w:styleId="IntenseReference">
    <w:name w:val="Intense Reference"/>
    <w:basedOn w:val="DefaultParagraphFont"/>
    <w:uiPriority w:val="32"/>
    <w:qFormat/>
    <w:rsid w:val="002B498E"/>
    <w:rPr>
      <w:b/>
      <w:bCs/>
      <w:smallCaps/>
      <w:color w:val="4F81BD" w:themeColor="accent1"/>
      <w:spacing w:val="5"/>
    </w:rPr>
  </w:style>
  <w:style w:type="paragraph" w:styleId="NoSpacing">
    <w:name w:val="No Spacing"/>
    <w:uiPriority w:val="99"/>
    <w:semiHidden/>
    <w:unhideWhenUsed/>
    <w:rsid w:val="002B498E"/>
    <w:rPr>
      <w:sz w:val="24"/>
      <w:szCs w:val="24"/>
      <w:lang w:val="en-US" w:eastAsia="en-US"/>
    </w:rPr>
  </w:style>
  <w:style w:type="paragraph" w:styleId="Quote">
    <w:name w:val="Quote"/>
    <w:basedOn w:val="Normal"/>
    <w:next w:val="Normal"/>
    <w:link w:val="QuoteChar"/>
    <w:uiPriority w:val="29"/>
    <w:qFormat/>
    <w:rsid w:val="002B49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498E"/>
    <w:rPr>
      <w:i/>
      <w:iCs/>
      <w:color w:val="404040" w:themeColor="text1" w:themeTint="BF"/>
      <w:sz w:val="24"/>
      <w:szCs w:val="24"/>
      <w:lang w:val="en-US" w:eastAsia="en-US"/>
    </w:rPr>
  </w:style>
  <w:style w:type="paragraph" w:styleId="Subtitle">
    <w:name w:val="Subtitle"/>
    <w:basedOn w:val="Normal"/>
    <w:next w:val="Normal"/>
    <w:link w:val="SubtitleChar"/>
    <w:uiPriority w:val="5"/>
    <w:qFormat/>
    <w:rsid w:val="002B498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5"/>
    <w:rsid w:val="002B498E"/>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2B498E"/>
    <w:rPr>
      <w:i/>
      <w:iCs/>
      <w:color w:val="404040" w:themeColor="text1" w:themeTint="BF"/>
    </w:rPr>
  </w:style>
  <w:style w:type="character" w:styleId="SubtleReference">
    <w:name w:val="Subtle Reference"/>
    <w:basedOn w:val="DefaultParagraphFont"/>
    <w:uiPriority w:val="31"/>
    <w:qFormat/>
    <w:rsid w:val="002B498E"/>
    <w:rPr>
      <w:smallCaps/>
      <w:color w:val="5A5A5A" w:themeColor="text1" w:themeTint="A5"/>
    </w:rPr>
  </w:style>
  <w:style w:type="paragraph" w:styleId="Title">
    <w:name w:val="Title"/>
    <w:basedOn w:val="Normal"/>
    <w:next w:val="Normal"/>
    <w:link w:val="TitleChar"/>
    <w:uiPriority w:val="4"/>
    <w:qFormat/>
    <w:rsid w:val="002B498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4"/>
    <w:rsid w:val="002B498E"/>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2B498E"/>
    <w:pPr>
      <w:keepNext/>
      <w:keepLines/>
      <w:spacing w:before="240" w:beforeAutospacing="0" w:after="0" w:afterAutospacing="0" w:line="276" w:lineRule="auto"/>
      <w:outlineLvl w:val="9"/>
    </w:pPr>
    <w:rPr>
      <w:rFonts w:asciiTheme="majorHAnsi" w:eastAsiaTheme="majorEastAsia" w:hAnsiTheme="majorHAnsi" w:cstheme="majorBidi"/>
      <w:color w:val="365F91"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480030">
      <w:bodyDiv w:val="1"/>
      <w:marLeft w:val="0"/>
      <w:marRight w:val="0"/>
      <w:marTop w:val="0"/>
      <w:marBottom w:val="0"/>
      <w:divBdr>
        <w:top w:val="none" w:sz="0" w:space="0" w:color="auto"/>
        <w:left w:val="none" w:sz="0" w:space="0" w:color="auto"/>
        <w:bottom w:val="none" w:sz="0" w:space="0" w:color="auto"/>
        <w:right w:val="none" w:sz="0" w:space="0" w:color="auto"/>
      </w:divBdr>
      <w:divsChild>
        <w:div w:id="65812001">
          <w:marLeft w:val="0"/>
          <w:marRight w:val="0"/>
          <w:marTop w:val="0"/>
          <w:marBottom w:val="0"/>
          <w:divBdr>
            <w:top w:val="none" w:sz="0" w:space="0" w:color="auto"/>
            <w:left w:val="none" w:sz="0" w:space="0" w:color="auto"/>
            <w:bottom w:val="none" w:sz="0" w:space="0" w:color="auto"/>
            <w:right w:val="none" w:sz="0" w:space="0" w:color="auto"/>
          </w:divBdr>
          <w:divsChild>
            <w:div w:id="787092001">
              <w:marLeft w:val="0"/>
              <w:marRight w:val="0"/>
              <w:marTop w:val="0"/>
              <w:marBottom w:val="0"/>
              <w:divBdr>
                <w:top w:val="none" w:sz="0" w:space="0" w:color="auto"/>
                <w:left w:val="none" w:sz="0" w:space="0" w:color="auto"/>
                <w:bottom w:val="none" w:sz="0" w:space="0" w:color="auto"/>
                <w:right w:val="none" w:sz="0" w:space="0" w:color="auto"/>
              </w:divBdr>
              <w:divsChild>
                <w:div w:id="1031758356">
                  <w:marLeft w:val="0"/>
                  <w:marRight w:val="0"/>
                  <w:marTop w:val="100"/>
                  <w:marBottom w:val="100"/>
                  <w:divBdr>
                    <w:top w:val="single" w:sz="18" w:space="6" w:color="888888"/>
                    <w:left w:val="single" w:sz="18" w:space="6" w:color="888888"/>
                    <w:bottom w:val="single" w:sz="18" w:space="6" w:color="888888"/>
                    <w:right w:val="single" w:sz="18" w:space="6" w:color="888888"/>
                  </w:divBdr>
                  <w:divsChild>
                    <w:div w:id="1396515263">
                      <w:marLeft w:val="0"/>
                      <w:marRight w:val="0"/>
                      <w:marTop w:val="0"/>
                      <w:marBottom w:val="0"/>
                      <w:divBdr>
                        <w:top w:val="none" w:sz="0" w:space="0" w:color="auto"/>
                        <w:left w:val="none" w:sz="0" w:space="0" w:color="auto"/>
                        <w:bottom w:val="none" w:sz="0" w:space="0" w:color="auto"/>
                        <w:right w:val="none" w:sz="0" w:space="0" w:color="auto"/>
                      </w:divBdr>
                      <w:divsChild>
                        <w:div w:id="367678368">
                          <w:marLeft w:val="0"/>
                          <w:marRight w:val="0"/>
                          <w:marTop w:val="0"/>
                          <w:marBottom w:val="0"/>
                          <w:divBdr>
                            <w:top w:val="none" w:sz="0" w:space="0" w:color="auto"/>
                            <w:left w:val="none" w:sz="0" w:space="0" w:color="auto"/>
                            <w:bottom w:val="none" w:sz="0" w:space="0" w:color="auto"/>
                            <w:right w:val="none" w:sz="0" w:space="0" w:color="auto"/>
                          </w:divBdr>
                          <w:divsChild>
                            <w:div w:id="1605109034">
                              <w:marLeft w:val="0"/>
                              <w:marRight w:val="0"/>
                              <w:marTop w:val="0"/>
                              <w:marBottom w:val="0"/>
                              <w:divBdr>
                                <w:top w:val="none" w:sz="0" w:space="0" w:color="auto"/>
                                <w:left w:val="none" w:sz="0" w:space="0" w:color="auto"/>
                                <w:bottom w:val="none" w:sz="0" w:space="0" w:color="auto"/>
                                <w:right w:val="none" w:sz="0" w:space="0" w:color="auto"/>
                              </w:divBdr>
                              <w:divsChild>
                                <w:div w:id="79711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502649">
      <w:bodyDiv w:val="1"/>
      <w:marLeft w:val="0"/>
      <w:marRight w:val="0"/>
      <w:marTop w:val="0"/>
      <w:marBottom w:val="0"/>
      <w:divBdr>
        <w:top w:val="none" w:sz="0" w:space="0" w:color="auto"/>
        <w:left w:val="none" w:sz="0" w:space="0" w:color="auto"/>
        <w:bottom w:val="none" w:sz="0" w:space="0" w:color="auto"/>
        <w:right w:val="none" w:sz="0" w:space="0" w:color="auto"/>
      </w:divBdr>
    </w:div>
    <w:div w:id="1459449313">
      <w:bodyDiv w:val="1"/>
      <w:marLeft w:val="0"/>
      <w:marRight w:val="0"/>
      <w:marTop w:val="0"/>
      <w:marBottom w:val="0"/>
      <w:divBdr>
        <w:top w:val="none" w:sz="0" w:space="0" w:color="auto"/>
        <w:left w:val="none" w:sz="0" w:space="0" w:color="auto"/>
        <w:bottom w:val="none" w:sz="0" w:space="0" w:color="auto"/>
        <w:right w:val="none" w:sz="0" w:space="0" w:color="auto"/>
      </w:divBdr>
    </w:div>
    <w:div w:id="1966737784">
      <w:bodyDiv w:val="1"/>
      <w:marLeft w:val="0"/>
      <w:marRight w:val="0"/>
      <w:marTop w:val="0"/>
      <w:marBottom w:val="0"/>
      <w:divBdr>
        <w:top w:val="none" w:sz="0" w:space="0" w:color="auto"/>
        <w:left w:val="none" w:sz="0" w:space="0" w:color="auto"/>
        <w:bottom w:val="none" w:sz="0" w:space="0" w:color="auto"/>
        <w:right w:val="none" w:sz="0" w:space="0" w:color="auto"/>
      </w:divBdr>
      <w:divsChild>
        <w:div w:id="348222672">
          <w:marLeft w:val="0"/>
          <w:marRight w:val="0"/>
          <w:marTop w:val="0"/>
          <w:marBottom w:val="0"/>
          <w:divBdr>
            <w:top w:val="none" w:sz="0" w:space="0" w:color="auto"/>
            <w:left w:val="none" w:sz="0" w:space="0" w:color="auto"/>
            <w:bottom w:val="none" w:sz="0" w:space="0" w:color="auto"/>
            <w:right w:val="none" w:sz="0" w:space="0" w:color="auto"/>
          </w:divBdr>
          <w:divsChild>
            <w:div w:id="1203859574">
              <w:marLeft w:val="0"/>
              <w:marRight w:val="0"/>
              <w:marTop w:val="0"/>
              <w:marBottom w:val="0"/>
              <w:divBdr>
                <w:top w:val="none" w:sz="0" w:space="0" w:color="auto"/>
                <w:left w:val="none" w:sz="0" w:space="0" w:color="auto"/>
                <w:bottom w:val="none" w:sz="0" w:space="0" w:color="auto"/>
                <w:right w:val="none" w:sz="0" w:space="0" w:color="auto"/>
              </w:divBdr>
              <w:divsChild>
                <w:div w:id="1847095362">
                  <w:marLeft w:val="0"/>
                  <w:marRight w:val="0"/>
                  <w:marTop w:val="0"/>
                  <w:marBottom w:val="0"/>
                  <w:divBdr>
                    <w:top w:val="none" w:sz="0" w:space="0" w:color="auto"/>
                    <w:left w:val="none" w:sz="0" w:space="0" w:color="auto"/>
                    <w:bottom w:val="none" w:sz="0" w:space="0" w:color="auto"/>
                    <w:right w:val="none" w:sz="0" w:space="0" w:color="auto"/>
                  </w:divBdr>
                  <w:divsChild>
                    <w:div w:id="531841305">
                      <w:marLeft w:val="0"/>
                      <w:marRight w:val="0"/>
                      <w:marTop w:val="0"/>
                      <w:marBottom w:val="0"/>
                      <w:divBdr>
                        <w:top w:val="none" w:sz="0" w:space="0" w:color="auto"/>
                        <w:left w:val="none" w:sz="0" w:space="0" w:color="auto"/>
                        <w:bottom w:val="none" w:sz="0" w:space="0" w:color="auto"/>
                        <w:right w:val="none" w:sz="0" w:space="0" w:color="auto"/>
                      </w:divBdr>
                      <w:divsChild>
                        <w:div w:id="1889492335">
                          <w:marLeft w:val="0"/>
                          <w:marRight w:val="0"/>
                          <w:marTop w:val="0"/>
                          <w:marBottom w:val="0"/>
                          <w:divBdr>
                            <w:top w:val="none" w:sz="0" w:space="0" w:color="auto"/>
                            <w:left w:val="none" w:sz="0" w:space="0" w:color="auto"/>
                            <w:bottom w:val="none" w:sz="0" w:space="0" w:color="auto"/>
                            <w:right w:val="none" w:sz="0" w:space="0" w:color="auto"/>
                          </w:divBdr>
                          <w:divsChild>
                            <w:div w:id="1420565102">
                              <w:marLeft w:val="0"/>
                              <w:marRight w:val="0"/>
                              <w:marTop w:val="0"/>
                              <w:marBottom w:val="0"/>
                              <w:divBdr>
                                <w:top w:val="none" w:sz="0" w:space="0" w:color="auto"/>
                                <w:left w:val="none" w:sz="0" w:space="0" w:color="auto"/>
                                <w:bottom w:val="none" w:sz="0" w:space="0" w:color="auto"/>
                                <w:right w:val="none" w:sz="0" w:space="0" w:color="auto"/>
                              </w:divBdr>
                              <w:divsChild>
                                <w:div w:id="2025739709">
                                  <w:marLeft w:val="0"/>
                                  <w:marRight w:val="0"/>
                                  <w:marTop w:val="0"/>
                                  <w:marBottom w:val="0"/>
                                  <w:divBdr>
                                    <w:top w:val="none" w:sz="0" w:space="0" w:color="auto"/>
                                    <w:left w:val="none" w:sz="0" w:space="0" w:color="auto"/>
                                    <w:bottom w:val="none" w:sz="0" w:space="0" w:color="auto"/>
                                    <w:right w:val="none" w:sz="0" w:space="0" w:color="auto"/>
                                  </w:divBdr>
                                  <w:divsChild>
                                    <w:div w:id="1625228716">
                                      <w:marLeft w:val="0"/>
                                      <w:marRight w:val="0"/>
                                      <w:marTop w:val="0"/>
                                      <w:marBottom w:val="0"/>
                                      <w:divBdr>
                                        <w:top w:val="none" w:sz="0" w:space="0" w:color="auto"/>
                                        <w:left w:val="none" w:sz="0" w:space="0" w:color="auto"/>
                                        <w:bottom w:val="none" w:sz="0" w:space="0" w:color="auto"/>
                                        <w:right w:val="none" w:sz="0" w:space="0" w:color="auto"/>
                                      </w:divBdr>
                                      <w:divsChild>
                                        <w:div w:id="1770270519">
                                          <w:marLeft w:val="0"/>
                                          <w:marRight w:val="0"/>
                                          <w:marTop w:val="0"/>
                                          <w:marBottom w:val="0"/>
                                          <w:divBdr>
                                            <w:top w:val="none" w:sz="0" w:space="0" w:color="auto"/>
                                            <w:left w:val="none" w:sz="0" w:space="0" w:color="auto"/>
                                            <w:bottom w:val="none" w:sz="0" w:space="0" w:color="auto"/>
                                            <w:right w:val="none" w:sz="0" w:space="0" w:color="auto"/>
                                          </w:divBdr>
                                        </w:div>
                                      </w:divsChild>
                                    </w:div>
                                    <w:div w:id="1612739805">
                                      <w:marLeft w:val="0"/>
                                      <w:marRight w:val="0"/>
                                      <w:marTop w:val="0"/>
                                      <w:marBottom w:val="0"/>
                                      <w:divBdr>
                                        <w:top w:val="none" w:sz="0" w:space="0" w:color="auto"/>
                                        <w:left w:val="none" w:sz="0" w:space="0" w:color="auto"/>
                                        <w:bottom w:val="none" w:sz="0" w:space="0" w:color="auto"/>
                                        <w:right w:val="none" w:sz="0" w:space="0" w:color="auto"/>
                                      </w:divBdr>
                                      <w:divsChild>
                                        <w:div w:id="13360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19590B0384B34699E14FB78C47D9F4" ma:contentTypeVersion="0" ma:contentTypeDescription="Create a new document." ma:contentTypeScope="" ma:versionID="471d113cf8f195b70938b47eef9ae31c">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635609937906294496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635609937906294496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635609937906294496</Data>
    <Filter/>
  </Receiver>
</spe:Receiver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24AE4A0-5D3E-475F-A353-D20E54880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05BC396-D033-4F24-B17B-6EADF8495DD4}">
  <ds:schemaRefs>
    <ds:schemaRef ds:uri="http://schemas.microsoft.com/sharepoint/v3/contenttype/forms"/>
  </ds:schemaRefs>
</ds:datastoreItem>
</file>

<file path=customXml/itemProps3.xml><?xml version="1.0" encoding="utf-8"?>
<ds:datastoreItem xmlns:ds="http://schemas.openxmlformats.org/officeDocument/2006/customXml" ds:itemID="{9931951F-6B20-4D97-95DF-17EB1262882E}">
  <ds:schemaRefs>
    <ds:schemaRef ds:uri="http://schemas.microsoft.com/sharepoint/events"/>
  </ds:schemaRefs>
</ds:datastoreItem>
</file>

<file path=customXml/itemProps4.xml><?xml version="1.0" encoding="utf-8"?>
<ds:datastoreItem xmlns:ds="http://schemas.openxmlformats.org/officeDocument/2006/customXml" ds:itemID="{BDCAD8EC-F5E5-4C80-923A-4F74E377FD81}">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1267</Words>
  <Characters>8228</Characters>
  <Application>Microsoft Office Word</Application>
  <DocSecurity>0</DocSecurity>
  <Lines>141</Lines>
  <Paragraphs>77</Paragraphs>
  <ScaleCrop>false</ScaleCrop>
  <HeadingPairs>
    <vt:vector size="2" baseType="variant">
      <vt:variant>
        <vt:lpstr>Title</vt:lpstr>
      </vt:variant>
      <vt:variant>
        <vt:i4>1</vt:i4>
      </vt:variant>
    </vt:vector>
  </HeadingPairs>
  <TitlesOfParts>
    <vt:vector size="1" baseType="lpstr">
      <vt:lpstr>STB Group Role Profile Template</vt:lpstr>
    </vt:vector>
  </TitlesOfParts>
  <Company>Secure Trust Bank PLC</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STB Group Role Profile Template</dc:title>
  <dc:creator>benbows</dc:creator>
  <cp:lastModifiedBy>Serena Osborne</cp:lastModifiedBy>
  <cp:revision>7</cp:revision>
  <cp:lastPrinted>2020-01-29T07:33:00Z</cp:lastPrinted>
  <dcterms:created xsi:type="dcterms:W3CDTF">2026-09-21T13:20:00Z</dcterms:created>
  <dcterms:modified xsi:type="dcterms:W3CDTF">2026-09-21T13:26:00Z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0x0101002819590B0384B34699E14FB78C47D9F4</vt:lpwstr>
  </property>
  <property fmtid="{D5CDD505-2E9C-101B-9397-08002B2CF9AE}" pid="3" name="ClassificationContentMarkingFooterShapeIds">
    <vt:lpwstr>1,3,4</vt:lpwstr>
  </property>
  <property fmtid="{D5CDD505-2E9C-101B-9397-08002B2CF9AE}" pid="4" name="ClassificationContentMarkingFooterFontProps">
    <vt:lpwstr>#ff0000,10,Calibri</vt:lpwstr>
  </property>
  <property fmtid="{D5CDD505-2E9C-101B-9397-08002B2CF9AE}" pid="5" name="ClassificationContentMarkingFooterText">
    <vt:lpwstr>Company Confidential</vt:lpwstr>
  </property>
  <property fmtid="{D5CDD505-2E9C-101B-9397-08002B2CF9AE}" pid="6" name="MSIP_Label_ef6327e6-fc0e-4760-99e5-056f7efd02ce_Enabled">
    <vt:lpwstr>true</vt:lpwstr>
  </property>
  <property fmtid="{D5CDD505-2E9C-101B-9397-08002B2CF9AE}" pid="7" name="MSIP_Label_ef6327e6-fc0e-4760-99e5-056f7efd02ce_SetDate">
    <vt:lpwstr>2023-09-04T11:13:30Z</vt:lpwstr>
  </property>
  <property fmtid="{D5CDD505-2E9C-101B-9397-08002B2CF9AE}" pid="8" name="MSIP_Label_ef6327e6-fc0e-4760-99e5-056f7efd02ce_Method">
    <vt:lpwstr>Standard</vt:lpwstr>
  </property>
  <property fmtid="{D5CDD505-2E9C-101B-9397-08002B2CF9AE}" pid="9" name="MSIP_Label_ef6327e6-fc0e-4760-99e5-056f7efd02ce_Name">
    <vt:lpwstr>Company Confidential</vt:lpwstr>
  </property>
  <property fmtid="{D5CDD505-2E9C-101B-9397-08002B2CF9AE}" pid="10" name="MSIP_Label_ef6327e6-fc0e-4760-99e5-056f7efd02ce_SiteId">
    <vt:lpwstr>f22a49a4-3b88-46d2-951c-591470e3149b</vt:lpwstr>
  </property>
  <property fmtid="{D5CDD505-2E9C-101B-9397-08002B2CF9AE}" pid="11" name="MSIP_Label_ef6327e6-fc0e-4760-99e5-056f7efd02ce_ActionId">
    <vt:lpwstr>83b089e2-05e8-4025-8f63-e00a27e08d7c</vt:lpwstr>
  </property>
  <property fmtid="{D5CDD505-2E9C-101B-9397-08002B2CF9AE}" pid="12" name="MSIP_Label_ef6327e6-fc0e-4760-99e5-056f7efd02ce_ContentBits">
    <vt:lpwstr>2</vt:lpwstr>
  </property>
</Properties>
</file>