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55"/>
        <w:gridCol w:w="9574"/>
      </w:tblGrid>
      <w:tr w:rsidR="002645BE" w:rsidRPr="00965146" w14:paraId="528C8251" w14:textId="77777777" w:rsidTr="009805FD">
        <w:trPr>
          <w:trHeight w:val="1205"/>
        </w:trPr>
        <w:tc>
          <w:tcPr>
            <w:tcW w:w="11029" w:type="dxa"/>
            <w:gridSpan w:val="2"/>
            <w:shd w:val="clear" w:color="auto" w:fill="001E5A"/>
          </w:tcPr>
          <w:p w14:paraId="02DC7B09" w14:textId="7DE43FE4" w:rsidR="002645BE" w:rsidRPr="00965146" w:rsidRDefault="004635A5" w:rsidP="002E3E01">
            <w:pPr>
              <w:spacing w:after="0"/>
              <w:jc w:val="right"/>
              <w:rPr>
                <w:rFonts w:ascii="Aptos" w:eastAsiaTheme="minorHAnsi" w:hAnsi="Aptos" w:cs="Shruti"/>
                <w:b/>
                <w:sz w:val="20"/>
                <w:szCs w:val="22"/>
                <w:lang w:val="en-GB"/>
              </w:rPr>
            </w:pPr>
            <w:r w:rsidRPr="00965146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49B74991" wp14:editId="58EEC7C5">
                  <wp:simplePos x="0" y="0"/>
                  <wp:positionH relativeFrom="column">
                    <wp:posOffset>4530725</wp:posOffset>
                  </wp:positionH>
                  <wp:positionV relativeFrom="paragraph">
                    <wp:posOffset>123190</wp:posOffset>
                  </wp:positionV>
                  <wp:extent cx="2286000" cy="5041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8CCFA" w14:textId="33C1092F" w:rsidR="002645BE" w:rsidRPr="00965146" w:rsidRDefault="00841AC5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32"/>
                <w:szCs w:val="22"/>
                <w:lang w:val="en-GB"/>
              </w:rPr>
              <w:t>Secure Trust Bank</w:t>
            </w:r>
            <w:r w:rsidR="00D30CD1" w:rsidRPr="00965146">
              <w:rPr>
                <w:rFonts w:ascii="Aptos" w:eastAsiaTheme="minorHAnsi" w:hAnsi="Aptos" w:cs="Shruti"/>
                <w:b/>
                <w:sz w:val="32"/>
                <w:szCs w:val="22"/>
                <w:lang w:val="en-GB"/>
              </w:rPr>
              <w:t xml:space="preserve">                                                                             </w:t>
            </w:r>
            <w:r w:rsidRPr="00965146">
              <w:rPr>
                <w:rFonts w:ascii="Aptos" w:eastAsiaTheme="minorHAnsi" w:hAnsi="Aptos" w:cs="Shruti"/>
                <w:b/>
                <w:sz w:val="32"/>
                <w:szCs w:val="22"/>
                <w:lang w:val="en-GB"/>
              </w:rPr>
              <w:br/>
            </w:r>
            <w:r w:rsidR="002E3E01" w:rsidRPr="00965146">
              <w:rPr>
                <w:rFonts w:ascii="Aptos" w:eastAsiaTheme="minorHAnsi" w:hAnsi="Aptos" w:cs="Shruti"/>
                <w:b/>
                <w:sz w:val="32"/>
                <w:szCs w:val="32"/>
                <w:lang w:val="en-GB"/>
              </w:rPr>
              <w:t xml:space="preserve">Head of Reporting &amp; MI </w:t>
            </w:r>
            <w:r w:rsidR="00F33904"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 </w:t>
            </w:r>
          </w:p>
        </w:tc>
      </w:tr>
      <w:tr w:rsidR="002645BE" w:rsidRPr="00965146" w14:paraId="3BFB6DDE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64D5351D" w14:textId="6136FA4B" w:rsidR="00215392" w:rsidRPr="00965146" w:rsidRDefault="00215392" w:rsidP="002E3E01">
            <w:pPr>
              <w:spacing w:before="60" w:after="6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 xml:space="preserve">Department: </w:t>
            </w:r>
            <w:r w:rsidR="002E3E01"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 xml:space="preserve">COO </w:t>
            </w:r>
          </w:p>
          <w:p w14:paraId="737032B1" w14:textId="47876267" w:rsidR="003815D2" w:rsidRPr="00965146" w:rsidRDefault="003815D2" w:rsidP="002E3E01">
            <w:pPr>
              <w:spacing w:before="60" w:after="60"/>
              <w:rPr>
                <w:rFonts w:ascii="Aptos" w:eastAsiaTheme="minorHAnsi" w:hAnsi="Aptos" w:cs="Shruti"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>Job Level</w:t>
            </w:r>
            <w:r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: </w:t>
            </w:r>
            <w:r w:rsidR="00965146"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>6</w:t>
            </w:r>
          </w:p>
          <w:p w14:paraId="366B336E" w14:textId="313852C7" w:rsidR="003815D2" w:rsidRPr="00965146" w:rsidRDefault="003815D2" w:rsidP="002E3E01">
            <w:pPr>
              <w:tabs>
                <w:tab w:val="left" w:pos="9320"/>
              </w:tabs>
              <w:spacing w:before="60" w:after="60"/>
              <w:rPr>
                <w:rFonts w:ascii="Aptos" w:eastAsiaTheme="minorHAnsi" w:hAnsi="Aptos" w:cs="Shruti"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>Reporting</w:t>
            </w:r>
            <w:r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 </w:t>
            </w: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>To</w:t>
            </w:r>
            <w:r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>:</w:t>
            </w:r>
            <w:r w:rsidR="00965146"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 Chief Operating Officer </w:t>
            </w:r>
            <w:r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 </w:t>
            </w:r>
            <w:r w:rsidR="004635A5"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ab/>
            </w:r>
          </w:p>
          <w:p w14:paraId="49A0E198" w14:textId="36AC7234" w:rsidR="002645BE" w:rsidRPr="00965146" w:rsidRDefault="003815D2" w:rsidP="002E3E01">
            <w:pPr>
              <w:spacing w:before="60" w:after="60"/>
              <w:rPr>
                <w:rFonts w:ascii="Aptos" w:eastAsiaTheme="minorHAnsi" w:hAnsi="Aptos" w:cs="Shruti"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>Location</w:t>
            </w:r>
            <w:r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: </w:t>
            </w:r>
            <w:r w:rsidR="00965146" w:rsidRPr="00965146">
              <w:rPr>
                <w:rFonts w:ascii="Aptos" w:eastAsiaTheme="minorHAnsi" w:hAnsi="Aptos" w:cs="Shruti"/>
                <w:sz w:val="22"/>
                <w:szCs w:val="22"/>
                <w:lang w:val="en-GB"/>
              </w:rPr>
              <w:t xml:space="preserve">Flexible </w:t>
            </w:r>
          </w:p>
        </w:tc>
      </w:tr>
      <w:tr w:rsidR="002645BE" w:rsidRPr="00965146" w14:paraId="6355A4CD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4BF6733D" w14:textId="77777777" w:rsidR="00A819EB" w:rsidRPr="00965146" w:rsidRDefault="00A819EB" w:rsidP="002E3E01">
            <w:pPr>
              <w:spacing w:before="120" w:after="60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>Secure Trust Bank Group is a UK-based specialist bank with over 70 years of experience helping consumers and businesses fulfil their ambitions. We operate through three core business areas:</w:t>
            </w:r>
          </w:p>
          <w:p w14:paraId="48AFBE8E" w14:textId="77777777" w:rsidR="00A819EB" w:rsidRPr="00965146" w:rsidRDefault="00A819EB" w:rsidP="002E3E01">
            <w:pPr>
              <w:numPr>
                <w:ilvl w:val="0"/>
                <w:numId w:val="14"/>
              </w:numPr>
              <w:spacing w:before="120" w:after="60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965146">
              <w:rPr>
                <w:rFonts w:ascii="Aptos" w:hAnsi="Aptos"/>
                <w:b/>
                <w:bCs/>
                <w:sz w:val="22"/>
                <w:szCs w:val="22"/>
                <w:lang w:val="en-GB" w:eastAsia="en-GB"/>
              </w:rPr>
              <w:t>Consumer Finance</w:t>
            </w: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 xml:space="preserve"> – Offering point-of-sale Retail Finance, helping customers access products and services with flexible payment options.</w:t>
            </w:r>
          </w:p>
          <w:p w14:paraId="192E2DCC" w14:textId="77777777" w:rsidR="00A819EB" w:rsidRPr="00965146" w:rsidRDefault="00A819EB" w:rsidP="002E3E01">
            <w:pPr>
              <w:numPr>
                <w:ilvl w:val="0"/>
                <w:numId w:val="14"/>
              </w:numPr>
              <w:spacing w:before="120" w:after="60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965146">
              <w:rPr>
                <w:rFonts w:ascii="Aptos" w:hAnsi="Aptos"/>
                <w:b/>
                <w:bCs/>
                <w:sz w:val="22"/>
                <w:szCs w:val="22"/>
                <w:lang w:val="en-GB" w:eastAsia="en-GB"/>
              </w:rPr>
              <w:t>Business Finance</w:t>
            </w: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 xml:space="preserve"> – Supporting UK SMEs and property professionals through Real Estate Finance and Commercial Finance, providing tailored lending and working capital solutions.</w:t>
            </w:r>
          </w:p>
          <w:p w14:paraId="1B9FA748" w14:textId="77777777" w:rsidR="00A819EB" w:rsidRPr="00965146" w:rsidRDefault="00A819EB" w:rsidP="002E3E01">
            <w:pPr>
              <w:numPr>
                <w:ilvl w:val="0"/>
                <w:numId w:val="14"/>
              </w:numPr>
              <w:spacing w:before="120" w:after="60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965146">
              <w:rPr>
                <w:rFonts w:ascii="Aptos" w:hAnsi="Aptos"/>
                <w:b/>
                <w:bCs/>
                <w:sz w:val="22"/>
                <w:szCs w:val="22"/>
                <w:lang w:val="en-GB" w:eastAsia="en-GB"/>
              </w:rPr>
              <w:t>Savings</w:t>
            </w: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 xml:space="preserve"> – Delivering competitive savings products to retail customers, supporting our lending activities and enabling financial wellbeing.</w:t>
            </w:r>
          </w:p>
          <w:p w14:paraId="56E12329" w14:textId="77777777" w:rsidR="00A819EB" w:rsidRPr="00965146" w:rsidRDefault="00A819EB" w:rsidP="002E3E01">
            <w:pPr>
              <w:spacing w:before="120" w:after="60"/>
              <w:rPr>
                <w:rFonts w:ascii="Aptos" w:hAnsi="Aptos"/>
                <w:sz w:val="22"/>
                <w:szCs w:val="22"/>
                <w:lang w:val="en-GB" w:eastAsia="en-GB"/>
              </w:rPr>
            </w:pP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 xml:space="preserve">Our purpose is simple: </w:t>
            </w:r>
            <w:r w:rsidRPr="00965146">
              <w:rPr>
                <w:rFonts w:ascii="Aptos" w:hAnsi="Aptos"/>
                <w:b/>
                <w:bCs/>
                <w:sz w:val="22"/>
                <w:szCs w:val="22"/>
                <w:lang w:val="en-GB" w:eastAsia="en-GB"/>
              </w:rPr>
              <w:t>to help more consumers and businesses fulfil their ambitions</w:t>
            </w: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 xml:space="preserve">. We aim to be the </w:t>
            </w:r>
            <w:r w:rsidRPr="00965146">
              <w:rPr>
                <w:rFonts w:ascii="Aptos" w:hAnsi="Aptos"/>
                <w:b/>
                <w:bCs/>
                <w:sz w:val="22"/>
                <w:szCs w:val="22"/>
                <w:lang w:val="en-GB" w:eastAsia="en-GB"/>
              </w:rPr>
              <w:t>most trusted specialist lender in the UK</w:t>
            </w:r>
            <w:r w:rsidRPr="00965146">
              <w:rPr>
                <w:rFonts w:ascii="Aptos" w:hAnsi="Aptos"/>
                <w:sz w:val="22"/>
                <w:szCs w:val="22"/>
                <w:lang w:val="en-GB" w:eastAsia="en-GB"/>
              </w:rPr>
              <w:t>, combining deep market expertise with a digitally enabled, customer-centric approach. Our strategy focuses on simplifying operations, enhancing customer experience, and leveraging strong partner networks to drive sustainable growth.</w:t>
            </w:r>
          </w:p>
          <w:p w14:paraId="55D4E4AD" w14:textId="160EC9F8" w:rsidR="00051AE2" w:rsidRPr="00965146" w:rsidRDefault="00A819EB" w:rsidP="002E3E01">
            <w:pPr>
              <w:spacing w:before="60" w:after="60"/>
              <w:rPr>
                <w:rFonts w:ascii="Aptos" w:hAnsi="Aptos"/>
                <w:iCs/>
                <w:sz w:val="22"/>
                <w:szCs w:val="22"/>
              </w:rPr>
            </w:pPr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We know that people are our biggest investment, which is why a career with us is not just a job. It’s the chance to be part of something bigger, to add real value to the Bank and help us constantly improve, </w:t>
            </w:r>
            <w:proofErr w:type="gramStart"/>
            <w:r w:rsidRPr="00965146">
              <w:rPr>
                <w:rFonts w:ascii="Aptos" w:hAnsi="Aptos"/>
                <w:iCs/>
                <w:sz w:val="22"/>
                <w:szCs w:val="22"/>
              </w:rPr>
              <w:t>in order to</w:t>
            </w:r>
            <w:proofErr w:type="gramEnd"/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 achieve our ambition of becoming the </w:t>
            </w:r>
            <w:proofErr w:type="gramStart"/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most </w:t>
            </w:r>
            <w:proofErr w:type="spellStart"/>
            <w:r w:rsidRPr="00965146">
              <w:rPr>
                <w:rFonts w:ascii="Aptos" w:hAnsi="Aptos"/>
                <w:iCs/>
                <w:sz w:val="22"/>
                <w:szCs w:val="22"/>
              </w:rPr>
              <w:t>most</w:t>
            </w:r>
            <w:proofErr w:type="spellEnd"/>
            <w:proofErr w:type="gramEnd"/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 trusted specialist lender in the </w:t>
            </w:r>
            <w:proofErr w:type="gramStart"/>
            <w:r w:rsidRPr="00965146">
              <w:rPr>
                <w:rFonts w:ascii="Aptos" w:hAnsi="Aptos"/>
                <w:iCs/>
                <w:sz w:val="22"/>
                <w:szCs w:val="22"/>
              </w:rPr>
              <w:t>UK .</w:t>
            </w:r>
            <w:proofErr w:type="gramEnd"/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 We believe in giving our colleagues autonomy, with initiative and exceptional performance </w:t>
            </w:r>
            <w:proofErr w:type="spellStart"/>
            <w:r w:rsidRPr="00965146">
              <w:rPr>
                <w:rFonts w:ascii="Aptos" w:hAnsi="Aptos"/>
                <w:iCs/>
                <w:sz w:val="22"/>
                <w:szCs w:val="22"/>
              </w:rPr>
              <w:t>recognised</w:t>
            </w:r>
            <w:proofErr w:type="spellEnd"/>
            <w:r w:rsidRPr="00965146">
              <w:rPr>
                <w:rFonts w:ascii="Aptos" w:hAnsi="Aptos"/>
                <w:iCs/>
                <w:sz w:val="22"/>
                <w:szCs w:val="22"/>
              </w:rPr>
              <w:t xml:space="preserve"> through a variety of individual and team awards and incentives.</w:t>
            </w:r>
          </w:p>
        </w:tc>
      </w:tr>
      <w:tr w:rsidR="002645BE" w:rsidRPr="00965146" w14:paraId="6EF85A6D" w14:textId="77777777" w:rsidTr="005139E8">
        <w:trPr>
          <w:trHeight w:val="443"/>
        </w:trPr>
        <w:tc>
          <w:tcPr>
            <w:tcW w:w="1455" w:type="dxa"/>
          </w:tcPr>
          <w:p w14:paraId="67A03226" w14:textId="77777777" w:rsidR="002645BE" w:rsidRPr="00965146" w:rsidRDefault="002645BE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</w:p>
          <w:p w14:paraId="07B0C84E" w14:textId="2F36E5B8" w:rsidR="002645BE" w:rsidRPr="00965146" w:rsidRDefault="002E1841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 xml:space="preserve">Role profile </w:t>
            </w:r>
          </w:p>
          <w:p w14:paraId="24010C6A" w14:textId="77777777" w:rsidR="002645BE" w:rsidRPr="00965146" w:rsidRDefault="002645BE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574" w:type="dxa"/>
          </w:tcPr>
          <w:p w14:paraId="5745FB33" w14:textId="77777777" w:rsidR="002645BE" w:rsidRPr="00965146" w:rsidRDefault="00057DD9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  <w:t>Job Purpose</w:t>
            </w:r>
          </w:p>
          <w:p w14:paraId="627158A5" w14:textId="77777777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</w:p>
          <w:p w14:paraId="2AF15ABA" w14:textId="77777777" w:rsidR="002E3E01" w:rsidRPr="00965146" w:rsidRDefault="002E3E01" w:rsidP="002E3E01">
            <w:pPr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 xml:space="preserve">The Head of Reporting &amp; MI is responsible for embedding and </w:t>
            </w:r>
            <w:proofErr w:type="spellStart"/>
            <w:r w:rsidRPr="00965146">
              <w:rPr>
                <w:rFonts w:ascii="Aptos" w:hAnsi="Aptos"/>
                <w:sz w:val="22"/>
                <w:szCs w:val="22"/>
              </w:rPr>
              <w:t>operationalising</w:t>
            </w:r>
            <w:proofErr w:type="spellEnd"/>
            <w:r w:rsidRPr="00965146">
              <w:rPr>
                <w:rFonts w:ascii="Aptos" w:hAnsi="Aptos"/>
                <w:sz w:val="22"/>
                <w:szCs w:val="22"/>
              </w:rPr>
              <w:t xml:space="preserve"> the Bank’s central Data &amp; MI strategy within the COO function. The role acts as the local owner and translator of central capability, ensuring alignment, adoption, and effective </w:t>
            </w:r>
            <w:proofErr w:type="spellStart"/>
            <w:r w:rsidRPr="00965146">
              <w:rPr>
                <w:rFonts w:ascii="Aptos" w:hAnsi="Aptos"/>
                <w:sz w:val="22"/>
                <w:szCs w:val="22"/>
              </w:rPr>
              <w:t>utilisation</w:t>
            </w:r>
            <w:proofErr w:type="spellEnd"/>
            <w:r w:rsidRPr="00965146">
              <w:rPr>
                <w:rFonts w:ascii="Aptos" w:hAnsi="Aptos"/>
                <w:sz w:val="22"/>
                <w:szCs w:val="22"/>
              </w:rPr>
              <w:t xml:space="preserve"> of enterprise data, reporting, and analytics tools across the operational estate.</w:t>
            </w:r>
          </w:p>
          <w:p w14:paraId="08326738" w14:textId="77777777" w:rsidR="002E3E01" w:rsidRPr="00965146" w:rsidRDefault="002E3E01" w:rsidP="002E3E01">
            <w:pPr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>Rather than defining standalone strategy, the role focuses on accelerating the delivery of central Data &amp; MI initiatives, ensuring they are pragmatically implemented, consistently applied, and fully leveraged to drive performance, control, and decision-making within the COO function.</w:t>
            </w:r>
          </w:p>
          <w:p w14:paraId="66CF2B8D" w14:textId="178D2E85" w:rsidR="002E3E01" w:rsidRPr="00965146" w:rsidRDefault="002E3E01" w:rsidP="002E3E01">
            <w:pPr>
              <w:rPr>
                <w:rFonts w:ascii="Aptos" w:hAnsi="Aptos" w:cs="Shruti"/>
                <w:bCs/>
                <w:i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>The role plays a critical part in bridging central design and operational execution, ensuring that data becomes a trusted, embedded driver of day-to-day performance and long-term transformation.</w:t>
            </w:r>
            <w:r w:rsidR="00CB65D9" w:rsidRPr="00965146">
              <w:rPr>
                <w:rFonts w:ascii="Aptos" w:hAnsi="Aptos" w:cs="Shruti"/>
                <w:bCs/>
                <w:i/>
                <w:sz w:val="22"/>
                <w:szCs w:val="22"/>
              </w:rPr>
              <w:t xml:space="preserve"> </w:t>
            </w:r>
          </w:p>
          <w:p w14:paraId="01293FB9" w14:textId="51984B98" w:rsidR="00765C0E" w:rsidRPr="00965146" w:rsidRDefault="00CB65D9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  <w:t>Impact &amp;</w:t>
            </w:r>
            <w:r w:rsidR="00215392" w:rsidRPr="00965146"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  <w:t xml:space="preserve"> Outcomes </w:t>
            </w:r>
          </w:p>
          <w:p w14:paraId="58508B00" w14:textId="77777777" w:rsidR="002E3E01" w:rsidRPr="00965146" w:rsidRDefault="002E3E01" w:rsidP="002E3E01">
            <w:pPr>
              <w:numPr>
                <w:ilvl w:val="0"/>
                <w:numId w:val="18"/>
              </w:numPr>
              <w:spacing w:after="160" w:line="240" w:lineRule="auto"/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>Full alignment between COO MI and central Data &amp; MI standards, with no fragmentation or duplication</w:t>
            </w:r>
          </w:p>
          <w:p w14:paraId="24F16654" w14:textId="77777777" w:rsidR="002E3E01" w:rsidRPr="00965146" w:rsidRDefault="002E3E01" w:rsidP="002E3E01">
            <w:pPr>
              <w:numPr>
                <w:ilvl w:val="0"/>
                <w:numId w:val="18"/>
              </w:numPr>
              <w:spacing w:after="160" w:line="240" w:lineRule="auto"/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 xml:space="preserve">High levels of adoption and </w:t>
            </w:r>
            <w:proofErr w:type="spellStart"/>
            <w:r w:rsidRPr="00965146">
              <w:rPr>
                <w:rFonts w:ascii="Aptos" w:hAnsi="Aptos"/>
                <w:sz w:val="22"/>
                <w:szCs w:val="22"/>
              </w:rPr>
              <w:t>utilisation</w:t>
            </w:r>
            <w:proofErr w:type="spellEnd"/>
            <w:r w:rsidRPr="00965146">
              <w:rPr>
                <w:rFonts w:ascii="Aptos" w:hAnsi="Aptos"/>
                <w:sz w:val="22"/>
                <w:szCs w:val="22"/>
              </w:rPr>
              <w:t xml:space="preserve"> of central tooling and data assets</w:t>
            </w:r>
          </w:p>
          <w:p w14:paraId="5BEF6A7F" w14:textId="77777777" w:rsidR="002E3E01" w:rsidRPr="00965146" w:rsidRDefault="002E3E01" w:rsidP="002E3E01">
            <w:pPr>
              <w:numPr>
                <w:ilvl w:val="0"/>
                <w:numId w:val="18"/>
              </w:numPr>
              <w:spacing w:after="160" w:line="240" w:lineRule="auto"/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>MI that is consistent, trusted, and embedded in operational decision-making</w:t>
            </w:r>
          </w:p>
          <w:p w14:paraId="0AD57D01" w14:textId="77777777" w:rsidR="002E3E01" w:rsidRPr="00965146" w:rsidRDefault="002E3E01" w:rsidP="002E3E01">
            <w:pPr>
              <w:numPr>
                <w:ilvl w:val="0"/>
                <w:numId w:val="18"/>
              </w:numPr>
              <w:spacing w:after="160" w:line="240" w:lineRule="auto"/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>Strong regulatory confidence, with robust, auditable reporting outputs</w:t>
            </w:r>
          </w:p>
          <w:p w14:paraId="3B29544C" w14:textId="77777777" w:rsidR="002E3E01" w:rsidRPr="00965146" w:rsidRDefault="002E3E01" w:rsidP="002E3E01">
            <w:pPr>
              <w:numPr>
                <w:ilvl w:val="0"/>
                <w:numId w:val="18"/>
              </w:numPr>
              <w:spacing w:after="160" w:line="240" w:lineRule="auto"/>
              <w:rPr>
                <w:rFonts w:ascii="Aptos" w:hAnsi="Aptos"/>
                <w:sz w:val="22"/>
                <w:szCs w:val="22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lastRenderedPageBreak/>
              <w:t>A measurable uplift in data literacy and self-serve capability within COO</w:t>
            </w:r>
          </w:p>
          <w:p w14:paraId="38455530" w14:textId="623A3532" w:rsidR="00CB65D9" w:rsidRPr="00965146" w:rsidRDefault="002E3E01" w:rsidP="00A46F4B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ptos" w:eastAsiaTheme="minorHAnsi" w:hAnsi="Aptos" w:cs="Shruti"/>
                <w:bCs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hAnsi="Aptos"/>
                <w:sz w:val="22"/>
                <w:szCs w:val="22"/>
              </w:rPr>
              <w:t xml:space="preserve">Evidence that central strategy is being accelerated and </w:t>
            </w:r>
            <w:proofErr w:type="spellStart"/>
            <w:r w:rsidRPr="00965146">
              <w:rPr>
                <w:rFonts w:ascii="Aptos" w:hAnsi="Aptos"/>
                <w:sz w:val="22"/>
                <w:szCs w:val="22"/>
              </w:rPr>
              <w:t>realised</w:t>
            </w:r>
            <w:proofErr w:type="spellEnd"/>
            <w:r w:rsidRPr="00965146">
              <w:rPr>
                <w:rFonts w:ascii="Aptos" w:hAnsi="Aptos"/>
                <w:sz w:val="22"/>
                <w:szCs w:val="22"/>
              </w:rPr>
              <w:t xml:space="preserve"> more effectively through local ownership</w:t>
            </w:r>
          </w:p>
          <w:p w14:paraId="0A193ADC" w14:textId="77777777" w:rsidR="005139E8" w:rsidRPr="00965146" w:rsidRDefault="005139E8" w:rsidP="005139E8">
            <w:pPr>
              <w:spacing w:after="0" w:line="240" w:lineRule="auto"/>
              <w:ind w:left="720"/>
              <w:contextualSpacing/>
              <w:rPr>
                <w:rFonts w:ascii="Aptos" w:eastAsiaTheme="minorHAnsi" w:hAnsi="Aptos" w:cs="Shruti"/>
                <w:bCs/>
                <w:i/>
                <w:sz w:val="22"/>
                <w:szCs w:val="22"/>
                <w:lang w:val="en-GB"/>
              </w:rPr>
            </w:pPr>
          </w:p>
          <w:p w14:paraId="32F5FFB1" w14:textId="3CB028E2" w:rsidR="00CB65D9" w:rsidRPr="00965146" w:rsidRDefault="00CB65D9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  <w:t xml:space="preserve">Key Responsibilities </w:t>
            </w:r>
          </w:p>
          <w:p w14:paraId="083CF6E0" w14:textId="77777777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</w:p>
          <w:p w14:paraId="73A0860C" w14:textId="4520E59E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Embed Central MI &amp; Reporting Frameworks: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Implement and embed enterprise MI standards, ensuring all COO reporting is aligned, consistent, and built on a single source of truth, while acting as the key interface with central Data &amp; MI teams.</w:t>
            </w:r>
          </w:p>
          <w:p w14:paraId="704380DA" w14:textId="6FA4908B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Drive Adoption &amp; Standardisation: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Lead the adoption of central MI tools and platforms, ensuring reporting is standardised, scalable, and free from fragmented or localised solutions.</w:t>
            </w:r>
          </w:p>
          <w:p w14:paraId="68B32D32" w14:textId="3225692A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Deliver Operational Insight: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Provide high-quality, timely and actionable operational MI, supporting performance management and enabling informed decision-making across the COO function.</w:t>
            </w:r>
          </w:p>
          <w:p w14:paraId="3CD9B6B3" w14:textId="339E8DAB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Regulatory &amp; Control Reporting: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Ensure delivery of robust, compliant regulatory reporting with strong governance, controls, and data lineage.</w:t>
            </w:r>
          </w:p>
          <w:p w14:paraId="0742BB36" w14:textId="6036FA92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Champion Data Governance: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Embed consistent data definitions, ownership, and accountability, promoting strong data quality and adherence to enterprise standards.</w:t>
            </w:r>
          </w:p>
          <w:p w14:paraId="2614B35A" w14:textId="5291FCE5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Build Data Culture &amp; Capability: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Enable a more data-driven organisation by upskilling leaders, promoting self-serve analytics, and embedding insight-led decision-making.</w:t>
            </w:r>
          </w:p>
          <w:p w14:paraId="03314809" w14:textId="34CE32C6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Lead Cross-Functional Alignment: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Act as a critical link between COO, central Data &amp; MI, and key functions (Operations, Technology, Risk, Finance) to ensure a joined-up approach to data and reporting.</w:t>
            </w:r>
          </w:p>
          <w:p w14:paraId="14A52790" w14:textId="7C7B36FE" w:rsidR="002E3E01" w:rsidRPr="00965146" w:rsidRDefault="002E3E01" w:rsidP="002E3E0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ptos" w:hAnsi="Aptos" w:cs="Shruti"/>
                <w:bCs/>
                <w:iCs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Cs/>
                <w:sz w:val="22"/>
              </w:rPr>
              <w:t>Lead High-Impact Team &amp; Model:</w:t>
            </w:r>
            <w:r w:rsidRPr="00965146">
              <w:rPr>
                <w:rFonts w:ascii="Aptos" w:hAnsi="Aptos" w:cs="Shruti"/>
                <w:bCs/>
                <w:iCs/>
                <w:sz w:val="22"/>
              </w:rPr>
              <w:br/>
              <w:t>Build and lead a lean, high-performing MI function focused on adoption, continuous improvement, and delivering business value within the enterprise data framework.</w:t>
            </w:r>
          </w:p>
          <w:p w14:paraId="72F64A0E" w14:textId="77777777" w:rsidR="00CB65D9" w:rsidRPr="00965146" w:rsidRDefault="00CB65D9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</w:p>
          <w:p w14:paraId="77F65E1C" w14:textId="5E61C88E" w:rsidR="00CB65D9" w:rsidRPr="00965146" w:rsidRDefault="00CB65D9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  <w:t xml:space="preserve">Key Priorities </w:t>
            </w:r>
          </w:p>
          <w:p w14:paraId="06CF0C94" w14:textId="77777777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/>
                <w:i/>
                <w:sz w:val="22"/>
                <w:szCs w:val="22"/>
                <w:lang w:val="en-GB"/>
              </w:rPr>
            </w:pPr>
          </w:p>
          <w:p w14:paraId="5E0DF258" w14:textId="37DD87F3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bCs/>
                <w:iCs/>
                <w:sz w:val="22"/>
                <w:szCs w:val="22"/>
                <w:lang w:val="en-GB"/>
              </w:rPr>
              <w:t>Establish Foundations &amp; Alignment (Months 1–3)</w:t>
            </w:r>
          </w:p>
          <w:p w14:paraId="58170C88" w14:textId="77777777" w:rsidR="002E3E01" w:rsidRPr="00965146" w:rsidRDefault="002E3E01" w:rsidP="002E3E01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Build strong relationships with COO leadership, central Data &amp; MI, and key stakeholders</w:t>
            </w:r>
          </w:p>
          <w:p w14:paraId="0748B333" w14:textId="77777777" w:rsidR="002E3E01" w:rsidRPr="00965146" w:rsidRDefault="002E3E01" w:rsidP="002E3E01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Assess current MI landscape, tools, data quality, and reporting gaps</w:t>
            </w:r>
          </w:p>
          <w:p w14:paraId="0B0F4D53" w14:textId="77777777" w:rsidR="002E3E01" w:rsidRPr="00965146" w:rsidRDefault="002E3E01" w:rsidP="002E3E01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Align on priorities, success measures, and roadmap for embedding the enterprise MI framework</w:t>
            </w:r>
          </w:p>
          <w:p w14:paraId="6516198E" w14:textId="77777777" w:rsidR="002E3E01" w:rsidRPr="00965146" w:rsidRDefault="002E3E01" w:rsidP="002E3E01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Clarify governance, roles, and accountability for data ownership within COO</w:t>
            </w:r>
          </w:p>
          <w:p w14:paraId="1BDF4377" w14:textId="2C7D2E52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bCs/>
                <w:iCs/>
                <w:sz w:val="22"/>
                <w:szCs w:val="22"/>
                <w:lang w:val="en-GB"/>
              </w:rPr>
              <w:t>Stabilise &amp; Standardise MI (Months 3–6)</w:t>
            </w:r>
          </w:p>
          <w:p w14:paraId="5F2BEEC4" w14:textId="77777777" w:rsidR="002E3E01" w:rsidRPr="00965146" w:rsidRDefault="002E3E01" w:rsidP="002E3E01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Embed core enterprise MI standards, definitions, and reporting structures</w:t>
            </w:r>
          </w:p>
          <w:p w14:paraId="3373BA6F" w14:textId="77777777" w:rsidR="002E3E01" w:rsidRPr="00965146" w:rsidRDefault="002E3E01" w:rsidP="002E3E01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Transition critical reporting to central platforms and single source of truth</w:t>
            </w:r>
          </w:p>
          <w:p w14:paraId="79C3F702" w14:textId="77777777" w:rsidR="002E3E01" w:rsidRPr="00965146" w:rsidRDefault="002E3E01" w:rsidP="002E3E01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Eliminate duplicate, localised or non-standard reporting</w:t>
            </w:r>
          </w:p>
          <w:p w14:paraId="6DE7FAE4" w14:textId="77777777" w:rsidR="002E3E01" w:rsidRPr="00965146" w:rsidRDefault="002E3E01" w:rsidP="002E3E01">
            <w:pPr>
              <w:numPr>
                <w:ilvl w:val="0"/>
                <w:numId w:val="21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Strengthen controls, consistency, and data lineage for operational and regulatory MI</w:t>
            </w:r>
          </w:p>
          <w:p w14:paraId="7790DDB5" w14:textId="34158262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bCs/>
                <w:iCs/>
                <w:sz w:val="22"/>
                <w:szCs w:val="22"/>
                <w:lang w:val="en-GB"/>
              </w:rPr>
              <w:t>Drive Adoption &amp; Capability (Months 6–9)</w:t>
            </w:r>
          </w:p>
          <w:p w14:paraId="0B9663B7" w14:textId="77777777" w:rsidR="002E3E01" w:rsidRPr="00965146" w:rsidRDefault="002E3E01" w:rsidP="002E3E01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Increase adoption of central MI tools and dashboards across COO</w:t>
            </w:r>
          </w:p>
          <w:p w14:paraId="237C19CE" w14:textId="77777777" w:rsidR="002E3E01" w:rsidRPr="00965146" w:rsidRDefault="002E3E01" w:rsidP="002E3E01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Upskill stakeholders to enable self-serve analytics and reduce reliance on manual reporting</w:t>
            </w:r>
          </w:p>
          <w:p w14:paraId="6AF6C1C2" w14:textId="77777777" w:rsidR="002E3E01" w:rsidRPr="00965146" w:rsidRDefault="002E3E01" w:rsidP="002E3E01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Address adoption barriers and improve user experience and accessibility of MI</w:t>
            </w:r>
          </w:p>
          <w:p w14:paraId="17742C16" w14:textId="77777777" w:rsidR="002E3E01" w:rsidRPr="00965146" w:rsidRDefault="002E3E01" w:rsidP="002E3E01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lastRenderedPageBreak/>
              <w:t>Begin embedding MI into regular performance and decision-making forums</w:t>
            </w:r>
          </w:p>
          <w:p w14:paraId="5ECBFE2A" w14:textId="2D99C617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bCs/>
                <w:iCs/>
                <w:sz w:val="22"/>
                <w:szCs w:val="22"/>
                <w:lang w:val="en-GB"/>
              </w:rPr>
              <w:t>Enhance Insight &amp; Value (Months 9–12)</w:t>
            </w:r>
          </w:p>
          <w:p w14:paraId="52E2779C" w14:textId="77777777" w:rsidR="002E3E01" w:rsidRPr="00965146" w:rsidRDefault="002E3E01" w:rsidP="002E3E01">
            <w:pPr>
              <w:numPr>
                <w:ilvl w:val="0"/>
                <w:numId w:val="23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Shift from reporting to insight-led analysis, focusing on key operational performance drivers</w:t>
            </w:r>
          </w:p>
          <w:p w14:paraId="55137A28" w14:textId="77777777" w:rsidR="002E3E01" w:rsidRPr="00965146" w:rsidRDefault="002E3E01" w:rsidP="002E3E01">
            <w:pPr>
              <w:numPr>
                <w:ilvl w:val="0"/>
                <w:numId w:val="23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Deliver more forward-looking and predictive insights to support decision-making</w:t>
            </w:r>
          </w:p>
          <w:p w14:paraId="67422C3E" w14:textId="77777777" w:rsidR="002E3E01" w:rsidRPr="00965146" w:rsidRDefault="002E3E01" w:rsidP="002E3E01">
            <w:pPr>
              <w:numPr>
                <w:ilvl w:val="0"/>
                <w:numId w:val="23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Strengthen alignment of MI to COO strategic priorities and KPIs</w:t>
            </w:r>
          </w:p>
          <w:p w14:paraId="70A82CF3" w14:textId="77777777" w:rsidR="002E3E01" w:rsidRPr="00965146" w:rsidRDefault="002E3E01" w:rsidP="002E3E01">
            <w:pPr>
              <w:numPr>
                <w:ilvl w:val="0"/>
                <w:numId w:val="23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Support evaluation of key initiatives with robust data and performance tracking</w:t>
            </w:r>
          </w:p>
          <w:p w14:paraId="7ED14BBA" w14:textId="0AD655A7" w:rsidR="002E3E01" w:rsidRPr="00965146" w:rsidRDefault="002E3E01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bCs/>
                <w:iCs/>
                <w:sz w:val="22"/>
                <w:szCs w:val="22"/>
                <w:lang w:val="en-GB"/>
              </w:rPr>
              <w:t>Build a High-Impact MI Function (Ongoing)</w:t>
            </w:r>
          </w:p>
          <w:p w14:paraId="3E531CAD" w14:textId="77777777" w:rsidR="002E3E01" w:rsidRPr="00965146" w:rsidRDefault="002E3E01" w:rsidP="002E3E01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Establish and lead a lean, high-performing team focused on value, not just production</w:t>
            </w:r>
          </w:p>
          <w:p w14:paraId="157FE74D" w14:textId="77777777" w:rsidR="002E3E01" w:rsidRPr="00965146" w:rsidRDefault="002E3E01" w:rsidP="002E3E01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Drive a culture of continuous improvement, innovation, and data discipline</w:t>
            </w:r>
          </w:p>
          <w:p w14:paraId="66D92F44" w14:textId="77777777" w:rsidR="002E3E01" w:rsidRPr="00965146" w:rsidRDefault="002E3E01" w:rsidP="002E3E01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Cs/>
                <w:sz w:val="22"/>
                <w:szCs w:val="22"/>
                <w:lang w:val="en-GB"/>
              </w:rPr>
              <w:t>Strengthen collaboration with central teams to influence future MI and data strategy</w:t>
            </w:r>
          </w:p>
          <w:p w14:paraId="564D4FB9" w14:textId="3BA806BD" w:rsidR="00754573" w:rsidRPr="00965146" w:rsidRDefault="00CB65D9" w:rsidP="002E3E01">
            <w:pPr>
              <w:spacing w:after="0"/>
              <w:contextualSpacing/>
              <w:rPr>
                <w:rFonts w:ascii="Aptos" w:eastAsiaTheme="minorHAnsi" w:hAnsi="Aptos" w:cs="Shruti"/>
                <w:bCs/>
                <w:i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Cs/>
                <w:i/>
                <w:sz w:val="22"/>
                <w:szCs w:val="22"/>
                <w:lang w:val="en-GB"/>
              </w:rPr>
              <w:t xml:space="preserve"> </w:t>
            </w:r>
          </w:p>
        </w:tc>
      </w:tr>
      <w:tr w:rsidR="002645BE" w:rsidRPr="00965146" w14:paraId="7030AF4D" w14:textId="77777777" w:rsidTr="005139E8">
        <w:trPr>
          <w:trHeight w:val="1431"/>
        </w:trPr>
        <w:tc>
          <w:tcPr>
            <w:tcW w:w="1455" w:type="dxa"/>
          </w:tcPr>
          <w:p w14:paraId="48B1E8DB" w14:textId="77777777" w:rsidR="002645BE" w:rsidRPr="00965146" w:rsidRDefault="002645BE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</w:p>
          <w:p w14:paraId="6C3EEAB4" w14:textId="745A3090" w:rsidR="002645BE" w:rsidRPr="00965146" w:rsidRDefault="002E1841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 xml:space="preserve">How we work </w:t>
            </w:r>
          </w:p>
          <w:p w14:paraId="44BEF0BA" w14:textId="77777777" w:rsidR="002645BE" w:rsidRPr="00965146" w:rsidRDefault="002645BE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574" w:type="dxa"/>
          </w:tcPr>
          <w:p w14:paraId="6C25FACA" w14:textId="77777777" w:rsidR="00CE0014" w:rsidRPr="00965146" w:rsidRDefault="00CE0014" w:rsidP="002E3E01">
            <w:pPr>
              <w:spacing w:after="0"/>
              <w:rPr>
                <w:rFonts w:ascii="Aptos" w:eastAsiaTheme="minorHAnsi" w:hAnsi="Aptos" w:cs="Shruti"/>
                <w:i/>
                <w:sz w:val="22"/>
                <w:szCs w:val="22"/>
                <w:lang w:val="en-GB"/>
              </w:rPr>
            </w:pPr>
          </w:p>
          <w:p w14:paraId="24371516" w14:textId="45292B57" w:rsidR="000E1675" w:rsidRPr="00965146" w:rsidRDefault="005139E8" w:rsidP="002E3E01">
            <w:pPr>
              <w:spacing w:after="0"/>
              <w:rPr>
                <w:rFonts w:ascii="Aptos" w:eastAsiaTheme="minorHAnsi" w:hAnsi="Aptos" w:cs="Shruti"/>
                <w:iCs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iCs/>
                <w:sz w:val="22"/>
                <w:szCs w:val="22"/>
              </w:rPr>
              <w:t xml:space="preserve">We believe the best work happens when we balance collaboration and focus. Our hybrid approach—with a minimum of 50% time in the </w:t>
            </w:r>
            <w:proofErr w:type="gramStart"/>
            <w:r w:rsidRPr="00965146">
              <w:rPr>
                <w:rFonts w:ascii="Aptos" w:eastAsiaTheme="minorHAnsi" w:hAnsi="Aptos" w:cs="Shruti"/>
                <w:iCs/>
                <w:sz w:val="22"/>
                <w:szCs w:val="22"/>
              </w:rPr>
              <w:t>office—</w:t>
            </w:r>
            <w:proofErr w:type="gramEnd"/>
            <w:r w:rsidRPr="00965146">
              <w:rPr>
                <w:rFonts w:ascii="Aptos" w:eastAsiaTheme="minorHAnsi" w:hAnsi="Aptos" w:cs="Shruti"/>
                <w:iCs/>
                <w:sz w:val="22"/>
                <w:szCs w:val="22"/>
              </w:rPr>
              <w:t>supports meaningful face-to-face connection while giving you the flexibility and space for deep, focused work.</w:t>
            </w:r>
          </w:p>
        </w:tc>
      </w:tr>
      <w:tr w:rsidR="002E1841" w:rsidRPr="00965146" w14:paraId="39979773" w14:textId="77777777" w:rsidTr="005139E8">
        <w:trPr>
          <w:trHeight w:val="1431"/>
        </w:trPr>
        <w:tc>
          <w:tcPr>
            <w:tcW w:w="1455" w:type="dxa"/>
          </w:tcPr>
          <w:p w14:paraId="7D7B4405" w14:textId="44C14C0B" w:rsidR="002E1841" w:rsidRPr="00965146" w:rsidRDefault="00A67885" w:rsidP="002E3E01">
            <w:pPr>
              <w:spacing w:after="0"/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</w:pPr>
            <w:r w:rsidRPr="00965146">
              <w:rPr>
                <w:rFonts w:ascii="Aptos" w:eastAsiaTheme="minorHAnsi" w:hAnsi="Aptos" w:cs="Shruti"/>
                <w:b/>
                <w:sz w:val="22"/>
                <w:szCs w:val="22"/>
                <w:lang w:val="en-GB"/>
              </w:rPr>
              <w:t xml:space="preserve">Person Specification </w:t>
            </w:r>
          </w:p>
        </w:tc>
        <w:tc>
          <w:tcPr>
            <w:tcW w:w="9574" w:type="dxa"/>
          </w:tcPr>
          <w:p w14:paraId="3DE22FCB" w14:textId="77777777" w:rsidR="005139E8" w:rsidRPr="00965146" w:rsidRDefault="005139E8" w:rsidP="002E3E01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b/>
                <w:bCs/>
                <w:i/>
                <w:sz w:val="22"/>
              </w:rPr>
            </w:pPr>
          </w:p>
          <w:p w14:paraId="0A638183" w14:textId="5BA0AB8D" w:rsidR="002E1841" w:rsidRPr="00965146" w:rsidRDefault="00A67885" w:rsidP="002E3E01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b/>
                <w:bCs/>
                <w:i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/>
                <w:sz w:val="22"/>
              </w:rPr>
              <w:t xml:space="preserve">Essential Criteria </w:t>
            </w:r>
          </w:p>
          <w:p w14:paraId="375805AF" w14:textId="5BF1F9BA" w:rsidR="00680285" w:rsidRPr="00965146" w:rsidRDefault="00680285" w:rsidP="0068028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Strong MI / Data Leadership experience </w:t>
            </w:r>
            <w:r w:rsidR="005139E8" w:rsidRPr="00965146">
              <w:rPr>
                <w:rFonts w:ascii="Aptos" w:hAnsi="Aptos" w:cs="Shruti"/>
                <w:iCs/>
                <w:sz w:val="22"/>
              </w:rPr>
              <w:t>with p</w:t>
            </w:r>
            <w:r w:rsidRPr="00965146">
              <w:rPr>
                <w:rFonts w:ascii="Aptos" w:hAnsi="Aptos" w:cs="Shruti"/>
                <w:iCs/>
                <w:sz w:val="22"/>
              </w:rPr>
              <w:t>roven experience leading management information, reporting, or data functions in a complex organisation (ideally regulated).</w:t>
            </w:r>
          </w:p>
          <w:p w14:paraId="46DECE9C" w14:textId="3C274440" w:rsidR="00680285" w:rsidRPr="00965146" w:rsidRDefault="00680285" w:rsidP="0068028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Enterprise MI &amp; Data Framework knowledge with experience implementing or operating within centralised data models, reporting frameworks, and “single source of truth” environments.</w:t>
            </w:r>
          </w:p>
          <w:p w14:paraId="505A64DC" w14:textId="7CBEABBB" w:rsidR="005139E8" w:rsidRPr="00965146" w:rsidRDefault="005139E8" w:rsidP="005139E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Strong analytical mindset with ability to translate data into clear, actionable insight </w:t>
            </w:r>
          </w:p>
          <w:p w14:paraId="36DC2D8E" w14:textId="4B2C376E" w:rsidR="005139E8" w:rsidRPr="00965146" w:rsidRDefault="005139E8" w:rsidP="005139E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Experience with tools such as Power BI, SQL, and enterprise data platforms (or equivalent) </w:t>
            </w:r>
          </w:p>
          <w:p w14:paraId="4838D4E3" w14:textId="77777777" w:rsidR="00A67885" w:rsidRPr="00965146" w:rsidRDefault="00A67885" w:rsidP="002E3E01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i/>
                <w:sz w:val="22"/>
              </w:rPr>
            </w:pPr>
          </w:p>
          <w:p w14:paraId="5A5A88DA" w14:textId="663E45FB" w:rsidR="00A67885" w:rsidRPr="00965146" w:rsidRDefault="00A67885" w:rsidP="002E3E01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b/>
                <w:bCs/>
                <w:i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/>
                <w:sz w:val="22"/>
              </w:rPr>
              <w:t xml:space="preserve">Valued Criteria and learning opportunities  </w:t>
            </w:r>
          </w:p>
          <w:p w14:paraId="740CC3F0" w14:textId="77777777" w:rsidR="00680285" w:rsidRPr="00965146" w:rsidRDefault="00680285" w:rsidP="005139E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Relevant certifications in data, analytics, or governance (beneficial but not essential)</w:t>
            </w:r>
          </w:p>
          <w:p w14:paraId="13F0E7D8" w14:textId="1304CBCE" w:rsidR="005139E8" w:rsidRPr="00965146" w:rsidRDefault="005139E8" w:rsidP="005139E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Experience with advanced analytics, automation, or AI-driven reporting solutions </w:t>
            </w:r>
          </w:p>
          <w:p w14:paraId="1BFB03C4" w14:textId="1D5A2A23" w:rsidR="005139E8" w:rsidRPr="00965146" w:rsidRDefault="005139E8" w:rsidP="005139E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Familiarity with data architecture concepts and enterprise data transformation programmes</w:t>
            </w:r>
          </w:p>
          <w:p w14:paraId="6A186B93" w14:textId="45E2186D" w:rsidR="005139E8" w:rsidRPr="00965146" w:rsidRDefault="005139E8" w:rsidP="005139E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Experience leading data or MI transformation programmes </w:t>
            </w:r>
          </w:p>
          <w:p w14:paraId="56EDDC10" w14:textId="647788DB" w:rsidR="00A67885" w:rsidRPr="00965146" w:rsidRDefault="005139E8" w:rsidP="005139E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ptos" w:hAnsi="Aptos" w:cs="Shruti"/>
                <w:i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Strong track record of building data literacy and self-serve capability across business teams</w:t>
            </w:r>
          </w:p>
          <w:p w14:paraId="5E989C38" w14:textId="77777777" w:rsidR="005139E8" w:rsidRPr="00965146" w:rsidRDefault="005139E8" w:rsidP="005139E8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i/>
                <w:sz w:val="22"/>
              </w:rPr>
            </w:pPr>
          </w:p>
          <w:p w14:paraId="741EF230" w14:textId="6CE41FCC" w:rsidR="00A67885" w:rsidRPr="00965146" w:rsidRDefault="00A67885" w:rsidP="002E3E01">
            <w:pPr>
              <w:pStyle w:val="ListParagraph"/>
              <w:spacing w:line="276" w:lineRule="auto"/>
              <w:ind w:left="360"/>
              <w:jc w:val="both"/>
              <w:rPr>
                <w:rFonts w:ascii="Aptos" w:hAnsi="Aptos" w:cs="Shruti"/>
                <w:i/>
                <w:sz w:val="22"/>
              </w:rPr>
            </w:pPr>
            <w:r w:rsidRPr="00965146">
              <w:rPr>
                <w:rFonts w:ascii="Aptos" w:hAnsi="Aptos" w:cs="Shruti"/>
                <w:b/>
                <w:bCs/>
                <w:i/>
                <w:sz w:val="22"/>
              </w:rPr>
              <w:t xml:space="preserve">Behavioural (&amp; Leadership) &amp; Cultural Alignment  </w:t>
            </w:r>
          </w:p>
          <w:p w14:paraId="23CCFAB0" w14:textId="77777777" w:rsidR="00680285" w:rsidRPr="00965146" w:rsidRDefault="00680285" w:rsidP="0068028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Stakeholder Influence at Senior Level</w:t>
            </w:r>
            <w:r w:rsidRPr="00965146">
              <w:rPr>
                <w:rFonts w:ascii="Aptos" w:hAnsi="Aptos" w:cs="Shruti"/>
                <w:iCs/>
                <w:sz w:val="22"/>
              </w:rPr>
              <w:br/>
              <w:t xml:space="preserve">Ability to engage, influence and challenge senior stakeholders </w:t>
            </w:r>
          </w:p>
          <w:p w14:paraId="55EBE06D" w14:textId="14108344" w:rsidR="00680285" w:rsidRPr="00965146" w:rsidRDefault="00680285" w:rsidP="0068028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Passion for data-driven decision-making and continuous improvement </w:t>
            </w:r>
          </w:p>
          <w:p w14:paraId="550D9654" w14:textId="3D508191" w:rsidR="00680285" w:rsidRPr="00965146" w:rsidRDefault="00680285" w:rsidP="0068028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 xml:space="preserve">Strong communication and storytelling skills </w:t>
            </w:r>
          </w:p>
          <w:p w14:paraId="7CED6062" w14:textId="1E3E6608" w:rsidR="00A67885" w:rsidRPr="00965146" w:rsidRDefault="00680285" w:rsidP="005139E8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ptos" w:hAnsi="Aptos" w:cs="Shruti"/>
                <w:b/>
                <w:bCs/>
                <w:i/>
                <w:iCs/>
                <w:sz w:val="22"/>
              </w:rPr>
            </w:pPr>
            <w:r w:rsidRPr="00965146">
              <w:rPr>
                <w:rFonts w:ascii="Aptos" w:hAnsi="Aptos" w:cs="Shruti"/>
                <w:iCs/>
                <w:sz w:val="22"/>
              </w:rPr>
              <w:t>High levels of accountability, resilience, and adaptability</w:t>
            </w:r>
          </w:p>
        </w:tc>
      </w:tr>
    </w:tbl>
    <w:p w14:paraId="16C213A9" w14:textId="77777777" w:rsidR="000A3866" w:rsidRPr="00965146" w:rsidRDefault="000A3866" w:rsidP="005139E8">
      <w:pPr>
        <w:jc w:val="right"/>
        <w:rPr>
          <w:rFonts w:ascii="Aptos" w:hAnsi="Aptos" w:cs="Shruti"/>
        </w:rPr>
      </w:pPr>
    </w:p>
    <w:sectPr w:rsidR="000A3866" w:rsidRPr="00965146" w:rsidSect="002645BE">
      <w:footerReference w:type="even" r:id="rId12"/>
      <w:footerReference w:type="first" r:id="rId13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FAB1" w14:textId="77777777" w:rsidR="00503763" w:rsidRDefault="00503763" w:rsidP="003815D2">
      <w:pPr>
        <w:spacing w:after="0" w:line="240" w:lineRule="auto"/>
      </w:pPr>
      <w:r>
        <w:separator/>
      </w:r>
    </w:p>
  </w:endnote>
  <w:endnote w:type="continuationSeparator" w:id="0">
    <w:p w14:paraId="0BD197B3" w14:textId="77777777" w:rsidR="00503763" w:rsidRDefault="00503763" w:rsidP="003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6F2A" w14:textId="54E53B97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BE02D" wp14:editId="675A291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8F232" w14:textId="1BF0490D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E0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mpany 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578F232" w14:textId="1BF0490D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2CA2" w14:textId="3743D4D4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48A002" wp14:editId="1A6CC1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09A2C" w14:textId="2A276878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8A0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mpany 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58009A2C" w14:textId="2A276878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708E" w14:textId="77777777" w:rsidR="00503763" w:rsidRDefault="00503763" w:rsidP="003815D2">
      <w:pPr>
        <w:spacing w:after="0" w:line="240" w:lineRule="auto"/>
      </w:pPr>
      <w:r>
        <w:separator/>
      </w:r>
    </w:p>
  </w:footnote>
  <w:footnote w:type="continuationSeparator" w:id="0">
    <w:p w14:paraId="3267E8B4" w14:textId="77777777" w:rsidR="00503763" w:rsidRDefault="00503763" w:rsidP="0038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88E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F82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534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396B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C000212"/>
    <w:multiLevelType w:val="hybridMultilevel"/>
    <w:tmpl w:val="4F9A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1493A"/>
    <w:multiLevelType w:val="hybridMultilevel"/>
    <w:tmpl w:val="F5CA0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81E22"/>
    <w:multiLevelType w:val="multilevel"/>
    <w:tmpl w:val="75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76A01"/>
    <w:multiLevelType w:val="hybridMultilevel"/>
    <w:tmpl w:val="FD3A5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80EE9"/>
    <w:multiLevelType w:val="hybridMultilevel"/>
    <w:tmpl w:val="8B060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43F79"/>
    <w:multiLevelType w:val="multilevel"/>
    <w:tmpl w:val="A9B6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17EF8"/>
    <w:multiLevelType w:val="multilevel"/>
    <w:tmpl w:val="75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0431"/>
    <w:multiLevelType w:val="multilevel"/>
    <w:tmpl w:val="75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1029B"/>
    <w:multiLevelType w:val="hybridMultilevel"/>
    <w:tmpl w:val="3294C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52"/>
    <w:multiLevelType w:val="hybridMultilevel"/>
    <w:tmpl w:val="5EB2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7559"/>
    <w:multiLevelType w:val="hybridMultilevel"/>
    <w:tmpl w:val="366E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E2B4E"/>
    <w:multiLevelType w:val="hybridMultilevel"/>
    <w:tmpl w:val="FF4E1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B611C"/>
    <w:multiLevelType w:val="hybridMultilevel"/>
    <w:tmpl w:val="4F8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05411"/>
    <w:multiLevelType w:val="multilevel"/>
    <w:tmpl w:val="75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262B6"/>
    <w:multiLevelType w:val="multilevel"/>
    <w:tmpl w:val="60D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F7B55"/>
    <w:multiLevelType w:val="multilevel"/>
    <w:tmpl w:val="75A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818E1"/>
    <w:multiLevelType w:val="hybridMultilevel"/>
    <w:tmpl w:val="4BF44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40EAE"/>
    <w:multiLevelType w:val="hybridMultilevel"/>
    <w:tmpl w:val="72349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62068"/>
    <w:multiLevelType w:val="hybridMultilevel"/>
    <w:tmpl w:val="FC722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03804"/>
    <w:multiLevelType w:val="hybridMultilevel"/>
    <w:tmpl w:val="490E1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2003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9334738">
    <w:abstractNumId w:val="21"/>
  </w:num>
  <w:num w:numId="3" w16cid:durableId="144102296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47707640">
    <w:abstractNumId w:val="3"/>
  </w:num>
  <w:num w:numId="5" w16cid:durableId="674649640">
    <w:abstractNumId w:val="2"/>
  </w:num>
  <w:num w:numId="6" w16cid:durableId="639462169">
    <w:abstractNumId w:val="1"/>
  </w:num>
  <w:num w:numId="7" w16cid:durableId="1299409579">
    <w:abstractNumId w:val="0"/>
  </w:num>
  <w:num w:numId="8" w16cid:durableId="1556159711">
    <w:abstractNumId w:val="8"/>
  </w:num>
  <w:num w:numId="9" w16cid:durableId="1457486805">
    <w:abstractNumId w:val="13"/>
  </w:num>
  <w:num w:numId="10" w16cid:durableId="41754673">
    <w:abstractNumId w:val="22"/>
  </w:num>
  <w:num w:numId="11" w16cid:durableId="445538269">
    <w:abstractNumId w:val="16"/>
  </w:num>
  <w:num w:numId="12" w16cid:durableId="536554209">
    <w:abstractNumId w:val="17"/>
  </w:num>
  <w:num w:numId="13" w16cid:durableId="776026055">
    <w:abstractNumId w:val="5"/>
  </w:num>
  <w:num w:numId="14" w16cid:durableId="1618294395">
    <w:abstractNumId w:val="19"/>
  </w:num>
  <w:num w:numId="15" w16cid:durableId="1328633771">
    <w:abstractNumId w:val="6"/>
  </w:num>
  <w:num w:numId="16" w16cid:durableId="2071687598">
    <w:abstractNumId w:val="23"/>
  </w:num>
  <w:num w:numId="17" w16cid:durableId="488907091">
    <w:abstractNumId w:val="14"/>
  </w:num>
  <w:num w:numId="18" w16cid:durableId="805053468">
    <w:abstractNumId w:val="10"/>
  </w:num>
  <w:num w:numId="19" w16cid:durableId="437676055">
    <w:abstractNumId w:val="24"/>
  </w:num>
  <w:num w:numId="20" w16cid:durableId="1465662542">
    <w:abstractNumId w:val="18"/>
  </w:num>
  <w:num w:numId="21" w16cid:durableId="827094855">
    <w:abstractNumId w:val="11"/>
  </w:num>
  <w:num w:numId="22" w16cid:durableId="1946813709">
    <w:abstractNumId w:val="12"/>
  </w:num>
  <w:num w:numId="23" w16cid:durableId="1122652275">
    <w:abstractNumId w:val="20"/>
  </w:num>
  <w:num w:numId="24" w16cid:durableId="907763800">
    <w:abstractNumId w:val="7"/>
  </w:num>
  <w:num w:numId="25" w16cid:durableId="834956139">
    <w:abstractNumId w:val="9"/>
  </w:num>
  <w:num w:numId="26" w16cid:durableId="82354896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E8"/>
    <w:rsid w:val="00000F6F"/>
    <w:rsid w:val="00010989"/>
    <w:rsid w:val="00016BAC"/>
    <w:rsid w:val="000255F2"/>
    <w:rsid w:val="000501C0"/>
    <w:rsid w:val="00051A30"/>
    <w:rsid w:val="00051AE2"/>
    <w:rsid w:val="00057DD9"/>
    <w:rsid w:val="000A063A"/>
    <w:rsid w:val="000A2288"/>
    <w:rsid w:val="000A3866"/>
    <w:rsid w:val="000A5BB6"/>
    <w:rsid w:val="000B2AD5"/>
    <w:rsid w:val="000B3B37"/>
    <w:rsid w:val="000C09E2"/>
    <w:rsid w:val="000C1CA2"/>
    <w:rsid w:val="000D4EE8"/>
    <w:rsid w:val="000E1675"/>
    <w:rsid w:val="000F64F3"/>
    <w:rsid w:val="000F6C5A"/>
    <w:rsid w:val="00114FFD"/>
    <w:rsid w:val="001161A6"/>
    <w:rsid w:val="00122916"/>
    <w:rsid w:val="00133F4C"/>
    <w:rsid w:val="00147984"/>
    <w:rsid w:val="00175D1B"/>
    <w:rsid w:val="001870D9"/>
    <w:rsid w:val="00194580"/>
    <w:rsid w:val="001A1230"/>
    <w:rsid w:val="001B23F7"/>
    <w:rsid w:val="001E6B7D"/>
    <w:rsid w:val="001F00F7"/>
    <w:rsid w:val="00201A3C"/>
    <w:rsid w:val="00204167"/>
    <w:rsid w:val="002070CF"/>
    <w:rsid w:val="00215392"/>
    <w:rsid w:val="00246B72"/>
    <w:rsid w:val="00246C51"/>
    <w:rsid w:val="00250317"/>
    <w:rsid w:val="002508ED"/>
    <w:rsid w:val="00250EFA"/>
    <w:rsid w:val="00250FCB"/>
    <w:rsid w:val="002645BE"/>
    <w:rsid w:val="002649C8"/>
    <w:rsid w:val="00284ECB"/>
    <w:rsid w:val="00286429"/>
    <w:rsid w:val="002A09DF"/>
    <w:rsid w:val="002B272E"/>
    <w:rsid w:val="002E1841"/>
    <w:rsid w:val="002E3E01"/>
    <w:rsid w:val="002F4DFF"/>
    <w:rsid w:val="00320865"/>
    <w:rsid w:val="003274F9"/>
    <w:rsid w:val="00331D6A"/>
    <w:rsid w:val="003358C3"/>
    <w:rsid w:val="00356764"/>
    <w:rsid w:val="00366455"/>
    <w:rsid w:val="00372CBD"/>
    <w:rsid w:val="003815D2"/>
    <w:rsid w:val="00387916"/>
    <w:rsid w:val="003A387D"/>
    <w:rsid w:val="003B1453"/>
    <w:rsid w:val="003E27D3"/>
    <w:rsid w:val="003E45C2"/>
    <w:rsid w:val="003F11D6"/>
    <w:rsid w:val="00403636"/>
    <w:rsid w:val="00403BAB"/>
    <w:rsid w:val="004060F8"/>
    <w:rsid w:val="00410D7C"/>
    <w:rsid w:val="0042497F"/>
    <w:rsid w:val="0043497B"/>
    <w:rsid w:val="004635A5"/>
    <w:rsid w:val="0046590B"/>
    <w:rsid w:val="00467150"/>
    <w:rsid w:val="004727F8"/>
    <w:rsid w:val="00472C37"/>
    <w:rsid w:val="00496585"/>
    <w:rsid w:val="004B0050"/>
    <w:rsid w:val="00503763"/>
    <w:rsid w:val="00506FE0"/>
    <w:rsid w:val="005139E8"/>
    <w:rsid w:val="00515D88"/>
    <w:rsid w:val="00517BAC"/>
    <w:rsid w:val="00522F64"/>
    <w:rsid w:val="005405EC"/>
    <w:rsid w:val="005440E1"/>
    <w:rsid w:val="0054564A"/>
    <w:rsid w:val="00567D92"/>
    <w:rsid w:val="00576989"/>
    <w:rsid w:val="00592803"/>
    <w:rsid w:val="005A2901"/>
    <w:rsid w:val="005D448D"/>
    <w:rsid w:val="005D6698"/>
    <w:rsid w:val="00607FF6"/>
    <w:rsid w:val="00625B9E"/>
    <w:rsid w:val="00637D6A"/>
    <w:rsid w:val="00651DB0"/>
    <w:rsid w:val="0065233C"/>
    <w:rsid w:val="00680285"/>
    <w:rsid w:val="0068188E"/>
    <w:rsid w:val="006A5F77"/>
    <w:rsid w:val="006B37AE"/>
    <w:rsid w:val="006C54A0"/>
    <w:rsid w:val="007130C5"/>
    <w:rsid w:val="007323C5"/>
    <w:rsid w:val="00743153"/>
    <w:rsid w:val="0074629C"/>
    <w:rsid w:val="00754573"/>
    <w:rsid w:val="00765C0E"/>
    <w:rsid w:val="00770FC6"/>
    <w:rsid w:val="00775132"/>
    <w:rsid w:val="0078337A"/>
    <w:rsid w:val="0079362B"/>
    <w:rsid w:val="00795652"/>
    <w:rsid w:val="007A7FF1"/>
    <w:rsid w:val="0081467D"/>
    <w:rsid w:val="00841AC5"/>
    <w:rsid w:val="008446F3"/>
    <w:rsid w:val="00860CA4"/>
    <w:rsid w:val="00884D7C"/>
    <w:rsid w:val="00886D59"/>
    <w:rsid w:val="00895628"/>
    <w:rsid w:val="008A5B48"/>
    <w:rsid w:val="008D2337"/>
    <w:rsid w:val="008D5791"/>
    <w:rsid w:val="008D5EAF"/>
    <w:rsid w:val="008F0F52"/>
    <w:rsid w:val="00921387"/>
    <w:rsid w:val="00926FCE"/>
    <w:rsid w:val="0092782B"/>
    <w:rsid w:val="00932DD3"/>
    <w:rsid w:val="00940F76"/>
    <w:rsid w:val="009602E6"/>
    <w:rsid w:val="009610CA"/>
    <w:rsid w:val="00965146"/>
    <w:rsid w:val="009805FD"/>
    <w:rsid w:val="00986117"/>
    <w:rsid w:val="00996363"/>
    <w:rsid w:val="009E6C61"/>
    <w:rsid w:val="00A6514B"/>
    <w:rsid w:val="00A67885"/>
    <w:rsid w:val="00A819EB"/>
    <w:rsid w:val="00A97DF7"/>
    <w:rsid w:val="00AC772B"/>
    <w:rsid w:val="00AE01E0"/>
    <w:rsid w:val="00B05260"/>
    <w:rsid w:val="00B156C6"/>
    <w:rsid w:val="00B226A7"/>
    <w:rsid w:val="00B373CA"/>
    <w:rsid w:val="00B66578"/>
    <w:rsid w:val="00B66797"/>
    <w:rsid w:val="00B9637A"/>
    <w:rsid w:val="00BA5B79"/>
    <w:rsid w:val="00BB00E5"/>
    <w:rsid w:val="00BC64F4"/>
    <w:rsid w:val="00BD27F1"/>
    <w:rsid w:val="00BD76D5"/>
    <w:rsid w:val="00BF716C"/>
    <w:rsid w:val="00C00A43"/>
    <w:rsid w:val="00C012C6"/>
    <w:rsid w:val="00C03500"/>
    <w:rsid w:val="00C06656"/>
    <w:rsid w:val="00C375A2"/>
    <w:rsid w:val="00C37F2F"/>
    <w:rsid w:val="00C75B03"/>
    <w:rsid w:val="00C91BAB"/>
    <w:rsid w:val="00C96197"/>
    <w:rsid w:val="00CA25CD"/>
    <w:rsid w:val="00CB65D9"/>
    <w:rsid w:val="00CC5F3F"/>
    <w:rsid w:val="00CE0014"/>
    <w:rsid w:val="00CE1FC7"/>
    <w:rsid w:val="00D04320"/>
    <w:rsid w:val="00D2056F"/>
    <w:rsid w:val="00D27900"/>
    <w:rsid w:val="00D30CD1"/>
    <w:rsid w:val="00D53801"/>
    <w:rsid w:val="00D67F5A"/>
    <w:rsid w:val="00D9692A"/>
    <w:rsid w:val="00D9711F"/>
    <w:rsid w:val="00DE3962"/>
    <w:rsid w:val="00E11D70"/>
    <w:rsid w:val="00E20D61"/>
    <w:rsid w:val="00E36651"/>
    <w:rsid w:val="00E37B9E"/>
    <w:rsid w:val="00E62122"/>
    <w:rsid w:val="00E660AC"/>
    <w:rsid w:val="00E81F00"/>
    <w:rsid w:val="00E96053"/>
    <w:rsid w:val="00EE1304"/>
    <w:rsid w:val="00EE2BAB"/>
    <w:rsid w:val="00F0159F"/>
    <w:rsid w:val="00F068AA"/>
    <w:rsid w:val="00F12BC8"/>
    <w:rsid w:val="00F1571E"/>
    <w:rsid w:val="00F15C69"/>
    <w:rsid w:val="00F17483"/>
    <w:rsid w:val="00F24B36"/>
    <w:rsid w:val="00F261CE"/>
    <w:rsid w:val="00F27AD4"/>
    <w:rsid w:val="00F33904"/>
    <w:rsid w:val="00F565D6"/>
    <w:rsid w:val="00F60B64"/>
    <w:rsid w:val="00F84AD1"/>
    <w:rsid w:val="00FA2D82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D80F"/>
  <w15:docId w15:val="{EE5AF2F8-FDEE-416C-84C5-3FB7612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590B0384B34699E14FB78C47D9F4" ma:contentTypeVersion="0" ma:contentTypeDescription="Create a new document." ma:contentTypeScope="" ma:versionID="471d113cf8f195b70938b47eef9ae3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1951F-6B20-4D97-95DF-17EB12628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CAD8EC-F5E5-4C80-923A-4F74E377FD8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4AE4A0-5D3E-475F-A353-D20E5488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1089</Words>
  <Characters>6834</Characters>
  <Application>Microsoft Office Word</Application>
  <DocSecurity>0</DocSecurity>
  <Lines>136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STB Group Role Profile Template</vt:lpstr>
    </vt:vector>
  </TitlesOfParts>
  <Company>Secure Trust Bank PLC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STB Group Role Profile Template</dc:title>
  <dc:creator>benbows</dc:creator>
  <cp:lastModifiedBy>Katie Drumm</cp:lastModifiedBy>
  <cp:revision>3</cp:revision>
  <cp:lastPrinted>2020-01-29T07:33:00Z</cp:lastPrinted>
  <dcterms:created xsi:type="dcterms:W3CDTF">2026-06-16T15:03:00Z</dcterms:created>
  <dcterms:modified xsi:type="dcterms:W3CDTF">2026-06-24T15:11:00Z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0x0101002819590B0384B34699E14FB78C47D9F4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Company Confidential</vt:lpwstr>
  </property>
  <property fmtid="{D5CDD505-2E9C-101B-9397-08002B2CF9AE}" pid="6" name="MSIP_Label_ef6327e6-fc0e-4760-99e5-056f7efd02ce_Enabled">
    <vt:lpwstr>true</vt:lpwstr>
  </property>
  <property fmtid="{D5CDD505-2E9C-101B-9397-08002B2CF9AE}" pid="7" name="MSIP_Label_ef6327e6-fc0e-4760-99e5-056f7efd02ce_SetDate">
    <vt:lpwstr>2023-09-04T11:13:30Z</vt:lpwstr>
  </property>
  <property fmtid="{D5CDD505-2E9C-101B-9397-08002B2CF9AE}" pid="8" name="MSIP_Label_ef6327e6-fc0e-4760-99e5-056f7efd02ce_Method">
    <vt:lpwstr>Standard</vt:lpwstr>
  </property>
  <property fmtid="{D5CDD505-2E9C-101B-9397-08002B2CF9AE}" pid="9" name="MSIP_Label_ef6327e6-fc0e-4760-99e5-056f7efd02ce_Name">
    <vt:lpwstr>Company Confidential</vt:lpwstr>
  </property>
  <property fmtid="{D5CDD505-2E9C-101B-9397-08002B2CF9AE}" pid="10" name="MSIP_Label_ef6327e6-fc0e-4760-99e5-056f7efd02ce_SiteId">
    <vt:lpwstr>f22a49a4-3b88-46d2-951c-591470e3149b</vt:lpwstr>
  </property>
  <property fmtid="{D5CDD505-2E9C-101B-9397-08002B2CF9AE}" pid="11" name="MSIP_Label_ef6327e6-fc0e-4760-99e5-056f7efd02ce_ActionId">
    <vt:lpwstr>83b089e2-05e8-4025-8f63-e00a27e08d7c</vt:lpwstr>
  </property>
  <property fmtid="{D5CDD505-2E9C-101B-9397-08002B2CF9AE}" pid="12" name="MSIP_Label_ef6327e6-fc0e-4760-99e5-056f7efd02ce_ContentBits">
    <vt:lpwstr>2</vt:lpwstr>
  </property>
</Properties>
</file>