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tbl>
      <w:tblPr>
        <w:tblW w:w="0" w:type="auto"/>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none"/>
        </w:tblBorders>
        <w:tblLayout w:type="fixed"/>
        <w:tblCellMar>
          <w:top w:w="0" w:type="dxa"/>
          <w:left w:w="108" w:type="dxa"/>
          <w:bottom w:w="0" w:type="dxa"/>
          <w:right w:w="108" w:type="dxa"/>
        </w:tblCellMar>
      </w:tblPr>
      <w:tblGrid>
        <w:gridCol w:w="11029"/>
      </w:tblGrid>
      <w:tr>
        <w:trPr>
          <w:trHeight w:val="1205" w:hRule="atLeast"/>
        </w:trPr>
        <w:tc>
          <w:tcPr>
            <w:tcW w:w="11029" w:type="dxa"/>
            <w:shd w:val="clear" w:color="auto" w:fill="001E5A"/>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right"/>
              <w:rPr>
                <w:b/>
                <w:bCs/>
                <w:color w:val="FFFFFF"/>
                <w:sz w:val="22"/>
                <w:szCs w:val="22"/>
                <w:lang w:val="en-GB" w:eastAsia="en-GB" w:bidi="en-GB"/>
              </w:rPr>
            </w:pPr>
            <w:r>
              <w:drawing>
                <wp:anchor distT="0" distB="0" distL="114300" distR="114300" simplePos="0" relativeHeight="251659263" behindDoc="0" locked="0" layoutInCell="1" hidden="0" allowOverlap="1">
                  <wp:simplePos x="0" y="0"/>
                  <wp:positionH relativeFrom="column">
                    <wp:posOffset>4530725</wp:posOffset>
                  </wp:positionH>
                  <wp:positionV relativeFrom="paragraph">
                    <wp:posOffset>123190</wp:posOffset>
                  </wp:positionV>
                  <wp:extent cx="2285365" cy="503555"/>
                  <wp:wrapSquare wrapText="bothSides"/>
                  <wp:docPr id="2" name="Picture 2"/>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2285365" cy="503555"/>
                          </a:xfrm>
                          <a:prstGeom prst="rect">
                            <a:avLst/>
                          </a:prstGeom>
                        </pic:spPr>
                      </pic:pic>
                    </a:graphicData>
                  </a:graphic>
                </wp:anchor>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color w:val="FFFFFF"/>
                <w:sz w:val="36"/>
                <w:szCs w:val="36"/>
                <w:lang w:val="en-GB" w:eastAsia="en-GB" w:bidi="en-GB"/>
              </w:rPr>
            </w:pPr>
            <w:r>
              <w:rPr>
                <w:b/>
                <w:bCs/>
                <w:color w:val="FFFFFF"/>
                <w:sz w:val="36"/>
                <w:szCs w:val="36"/>
                <w:lang w:val="en-GB" w:eastAsia="en-GB" w:bidi="en-GB"/>
              </w:rPr>
              <w:t xml:space="preserve">Secure Trust Bank                                                                             </w:t>
              <w:br w:type="textWrapping"/>
            </w:r>
            <w:r>
              <w:rPr>
                <w:b/>
                <w:bCs/>
                <w:color w:val="FFFFFF"/>
                <w:sz w:val="36"/>
                <w:szCs w:val="36"/>
                <w:lang w:val="en-GB" w:eastAsia="en-GB" w:bidi="en-GB"/>
              </w:rPr>
              <w:t xml:space="preserve">People Operations Lead </w:t>
            </w:r>
          </w:p>
        </w:tc>
      </w:tr>
      <w:tr>
        <w:trPr>
          <w:trHeight w:val="1431" w:hRule="atLeast"/>
        </w:trPr>
        <w:tc>
          <w:tcPr>
            <w:tcW w:w="11029"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rPr>
                <w:b/>
                <w:bCs/>
                <w:sz w:val="22"/>
                <w:szCs w:val="22"/>
                <w:lang w:val="en-GB" w:eastAsia="en-GB" w:bidi="en-GB"/>
              </w:rPr>
            </w:pPr>
            <w:r>
              <w:rPr>
                <w:b/>
                <w:bCs/>
                <w:sz w:val="22"/>
                <w:szCs w:val="22"/>
                <w:lang w:val="en-GB" w:eastAsia="en-GB" w:bidi="en-GB"/>
              </w:rPr>
              <w:t xml:space="preserve">Job Level</w:t>
            </w:r>
            <w:r>
              <w:rPr>
                <w:sz w:val="22"/>
                <w:szCs w:val="22"/>
                <w:lang w:val="en-GB" w:eastAsia="en-GB" w:bidi="en-GB"/>
              </w:rPr>
              <w:t xml:space="preserve">: 4</w:t>
            </w:r>
          </w:p>
          <w:p>
            <w:pPr>
              <w:pStyle w:val="Normal"/>
              <w:tabs>
                <w:tab w:val="left" w:pos="9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after="60" w:line="240" w:lineRule="auto"/>
              <w:rPr>
                <w:sz w:val="22"/>
                <w:szCs w:val="22"/>
                <w:lang w:val="en-GB" w:eastAsia="en-GB" w:bidi="en-GB"/>
              </w:rPr>
            </w:pPr>
            <w:r>
              <w:rPr>
                <w:b/>
                <w:bCs/>
                <w:sz w:val="22"/>
                <w:szCs w:val="22"/>
                <w:lang w:val="en-GB" w:eastAsia="en-GB" w:bidi="en-GB"/>
              </w:rPr>
              <w:t xml:space="preserve">Reporting</w:t>
            </w:r>
            <w:r>
              <w:rPr>
                <w:sz w:val="22"/>
                <w:szCs w:val="22"/>
                <w:lang w:val="en-GB" w:eastAsia="en-GB" w:bidi="en-GB"/>
              </w:rPr>
              <w:t xml:space="preserve"> </w:t>
            </w:r>
            <w:r>
              <w:rPr>
                <w:b/>
                <w:bCs/>
                <w:sz w:val="22"/>
                <w:szCs w:val="22"/>
                <w:lang w:val="en-GB" w:eastAsia="en-GB" w:bidi="en-GB"/>
              </w:rPr>
              <w:t xml:space="preserve">To</w:t>
            </w:r>
            <w:r>
              <w:rPr>
                <w:sz w:val="22"/>
                <w:szCs w:val="22"/>
                <w:lang w:val="en-GB" w:eastAsia="en-GB" w:bidi="en-GB"/>
              </w:rPr>
              <w:t xml:space="preserve">: People Operations Senior Manager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rPr>
                <w:sz w:val="22"/>
                <w:szCs w:val="22"/>
                <w:lang w:val="en-GB" w:eastAsia="en-GB" w:bidi="en-GB"/>
              </w:rPr>
            </w:pPr>
            <w:r>
              <w:rPr>
                <w:b/>
                <w:bCs/>
                <w:sz w:val="22"/>
                <w:szCs w:val="22"/>
                <w:lang w:val="en-GB" w:eastAsia="en-GB" w:bidi="en-GB"/>
              </w:rPr>
              <w:t xml:space="preserve">Location</w:t>
            </w:r>
            <w:r>
              <w:rPr>
                <w:sz w:val="22"/>
                <w:szCs w:val="22"/>
                <w:lang w:val="en-GB" w:eastAsia="en-GB" w:bidi="en-GB"/>
              </w:rPr>
              <w:t xml:space="preserve">: Solihull</w:t>
            </w:r>
          </w:p>
        </w:tc>
      </w:tr>
      <w:tr>
        <w:trPr>
          <w:trHeight w:val="1431" w:hRule="atLeast"/>
        </w:trPr>
        <w:tc>
          <w:tcPr>
            <w:tcW w:w="11029" w:type="dxa"/>
            <w:tcBorders>
              <w:bottom w:val="single" w:sz="4" w:space="0" w:color="000000"/>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60" w:line="240" w:lineRule="auto"/>
              <w:rPr>
                <w:sz w:val="22"/>
                <w:szCs w:val="22"/>
                <w:lang w:val="en-US" w:eastAsia="en-US" w:bidi="en-US"/>
              </w:rPr>
            </w:pPr>
            <w:r>
              <w:rPr>
                <w:sz w:val="22"/>
                <w:szCs w:val="22"/>
                <w:lang w:val="en-US" w:eastAsia="en-US" w:bidi="en-US"/>
              </w:rPr>
              <w:t xml:space="preserve">Secure Trust Bank is an established, well-funded and capitalised UK retail bank providing savings accounts and lending services to over a million customers. In 2022 the Group celebrated 70 years of helping consumers and businesses fulfil their ambitions.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60" w:line="240" w:lineRule="auto"/>
              <w:rPr>
                <w:b/>
                <w:bCs/>
                <w:i/>
                <w:i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rPr>
                <w:sz w:val="22"/>
                <w:szCs w:val="22"/>
                <w:lang w:val="en-US" w:eastAsia="en-US" w:bidi="en-US"/>
              </w:rPr>
            </w:pPr>
            <w:r>
              <w:rPr>
                <w:sz w:val="22"/>
                <w:szCs w:val="22"/>
                <w:lang w:val="en-US" w:eastAsia="en-US" w:bidi="en-US"/>
              </w:rPr>
              <w:t xml:space="preserve">Our customers are at the heart of everything we do, but we can’t achieve our customer focused strategy without the right people in our team. At Secure Trust Bank, we know that people are our biggest investment, which is why a career with us is not just a job. It’s the chance to be part of something bigger, to add real value to the Bank and help us constantly improve, to achieve our ambition of becoming the most trusted specialist lender in the UK.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0" w:line="240" w:lineRule="auto"/>
              <w:rPr>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line="240" w:lineRule="auto"/>
              <w:rPr>
                <w:sz w:val="22"/>
                <w:szCs w:val="22"/>
                <w:lang w:val="en-US" w:eastAsia="en-US" w:bidi="en-US"/>
              </w:rPr>
            </w:pPr>
            <w:r>
              <w:rPr>
                <w:sz w:val="22"/>
                <w:szCs w:val="22"/>
                <w:lang w:val="en-US" w:eastAsia="en-US" w:bidi="en-US"/>
              </w:rPr>
              <w:t xml:space="preserve">We believe in giving our employees autonomy, with initiative and exceptional performance recognised through a variety of individual and team awards and incentives. All our employees have a tangible impact on the Group’s core values, and we are looking for candidates who are enthusiastic, proactive and enjoy working in a fast-paced environment. </w:t>
            </w:r>
          </w:p>
        </w:tc>
      </w:tr>
    </w:tbl>
    <w:tbl>
      <w:tblPr>
        <w:tblW w:w="0" w:type="auto"/>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1381"/>
        <w:gridCol w:w="9648"/>
      </w:tblGrid>
      <w:tr>
        <w:trPr>
          <w:trHeight w:val="443" w:hRule="atLeast"/>
        </w:trPr>
        <w:tc>
          <w:tcPr>
            <w:tcW w:w="1381" w:type="dxa"/>
            <w:tcBorders>
              <w:top w:val="single" w:sz="4" w:space="0" w:color="000000"/>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r>
              <w:rPr>
                <w:b/>
                <w:bCs/>
                <w:sz w:val="22"/>
                <w:szCs w:val="22"/>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p>
        </w:tc>
        <w:tc>
          <w:tcPr>
            <w:tcW w:w="9648" w:type="dxa"/>
            <w:tcBorders>
              <w:top w:val="single" w:sz="4" w:space="0" w:color="000000"/>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r>
              <w:rPr>
                <w:b/>
                <w:bCs/>
                <w:sz w:val="22"/>
                <w:szCs w:val="22"/>
                <w:lang w:val="en-GB" w:eastAsia="en-GB" w:bidi="en-GB"/>
              </w:rPr>
              <w:t xml:space="preserve">Job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r>
              <w:rPr>
                <w:sz w:val="22"/>
                <w:szCs w:val="22"/>
                <w:lang w:val="en-GB" w:eastAsia="en-GB" w:bidi="en-GB"/>
              </w:rPr>
              <w:t xml:space="preserve">The People Operations Lead is responsible for leading the delivery of efficient, consistent, and compliant People Operations services across the full employee lifecycle.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r>
              <w:rPr>
                <w:sz w:val="22"/>
                <w:szCs w:val="22"/>
                <w:lang w:val="en-GB" w:eastAsia="en-GB" w:bidi="en-GB"/>
              </w:rPr>
              <w:t xml:space="preserve">The role ensures that all operational processes, systems, and controls are delivered to a high standard, supporting a positive colleague experience while meeting regulatory (including SMCR), legal, and internal governance requirements.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r>
              <w:rPr>
                <w:sz w:val="22"/>
                <w:szCs w:val="22"/>
                <w:lang w:val="en-GB" w:eastAsia="en-GB" w:bidi="en-GB"/>
              </w:rPr>
              <w:t xml:space="preserve">Acting as the operational lead within the People function, the role provides oversight of employee relations activity, People data, and core operational processes, while driving continuous improvement, strengthening risk management, and enabling the effective delivery of the People strategy.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r>
              <w:rPr>
                <w:b/>
                <w:bCs/>
                <w:sz w:val="22"/>
                <w:szCs w:val="22"/>
                <w:lang w:val="en-GB" w:eastAsia="en-GB" w:bidi="en-GB"/>
              </w:rPr>
              <w:t xml:space="preserve">Key Responsibilities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r>
              <w:rPr>
                <w:b/>
                <w:bCs/>
                <w:sz w:val="22"/>
                <w:szCs w:val="22"/>
                <w:lang w:val="en-GB" w:eastAsia="en-GB" w:bidi="en-GB"/>
              </w:rPr>
              <w:t xml:space="preserve">People Operations Delivery &amp; Service Management</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Lead end-to-end delivery of People Operations across the employee lifecycle (joiners, movers, leavers)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Ensure SLA-driven, high-quality service delivery across onboarding, lifecycle changes, and offboarding</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Build strong relationships with key stakeholders and external partners, ensuring effective service delivery and collaboration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r>
              <w:rPr>
                <w:b/>
                <w:bCs/>
                <w:sz w:val="22"/>
                <w:szCs w:val="22"/>
                <w:lang w:val="en-GB" w:eastAsia="en-GB" w:bidi="en-GB"/>
              </w:rPr>
              <w:t xml:space="preserve">Employee Relations Oversight &amp; Advisory</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Oversee the effective and compliant management of employee relations cases, including sickness and absence, investigations, disciplinary, grievances, family leave, flexible working, capability, and performance matters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Provide escalation support on complex cases, ensuring consistent application of policies, robust documentation, and alignment with legal, regulatory, and internal risk requirements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Proactively coach, advise, and influence line managers and colleagues on People policies and procedures, supporting fair, timely, and effective resolution of casework (formal and informal)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r>
              <w:rPr>
                <w:b/>
                <w:bCs/>
                <w:sz w:val="22"/>
                <w:szCs w:val="22"/>
                <w:lang w:val="en-GB" w:eastAsia="en-GB" w:bidi="en-GB"/>
              </w:rPr>
              <w:t xml:space="preserve">Governance, Risk &amp; Regulatory Compliance</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Lead the operational delivery and ongoing management of SMCR requirements, including: </w:t>
            </w:r>
          </w:p>
          <w:p>
            <w:pPr>
              <w:pStyle w:val="Normal"/>
              <w:numPr>
                <w:ilvl w:val="1"/>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360"/>
              <w:rPr>
                <w:sz w:val="22"/>
                <w:szCs w:val="22"/>
                <w:lang w:val="en-GB" w:eastAsia="en-GB" w:bidi="en-GB"/>
              </w:rPr>
            </w:pPr>
            <w:r>
              <w:rPr>
                <w:sz w:val="22"/>
                <w:szCs w:val="22"/>
                <w:lang w:val="en-GB" w:eastAsia="en-GB" w:bidi="en-GB"/>
              </w:rPr>
              <w:t xml:space="preserve">Coordination of Fit &amp; Proper assessments (SMFs and Certified population)</w:t>
            </w:r>
          </w:p>
          <w:p>
            <w:pPr>
              <w:pStyle w:val="Normal"/>
              <w:numPr>
                <w:ilvl w:val="1"/>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360"/>
              <w:rPr>
                <w:sz w:val="22"/>
                <w:szCs w:val="22"/>
                <w:lang w:val="en-GB" w:eastAsia="en-GB" w:bidi="en-GB"/>
              </w:rPr>
            </w:pPr>
            <w:r>
              <w:rPr>
                <w:sz w:val="22"/>
                <w:szCs w:val="22"/>
                <w:lang w:val="en-GB" w:eastAsia="en-GB" w:bidi="en-GB"/>
              </w:rPr>
              <w:t xml:space="preserve">Management of regulatory references in line with FCA requirements</w:t>
            </w:r>
          </w:p>
          <w:p>
            <w:pPr>
              <w:pStyle w:val="Normal"/>
              <w:numPr>
                <w:ilvl w:val="1"/>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1440" w:hanging="360"/>
              <w:rPr>
                <w:sz w:val="22"/>
                <w:szCs w:val="22"/>
                <w:lang w:val="en-GB" w:eastAsia="en-GB" w:bidi="en-GB"/>
              </w:rPr>
            </w:pPr>
            <w:r>
              <w:rPr>
                <w:sz w:val="22"/>
                <w:szCs w:val="22"/>
                <w:lang w:val="en-GB" w:eastAsia="en-GB" w:bidi="en-GB"/>
              </w:rPr>
              <w:t xml:space="preserve">Ensuring accurate record-keeping and audit readiness for all SMCR-related activities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Oversee GDPR compliance and manage Data Subject Access Requests (DSARs), ensuring robust governance and adherence to regulatory requirements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Maintain up-to-date knowledge of UK employment legislation and proactively share updates within the People Team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r>
              <w:rPr>
                <w:b/>
                <w:bCs/>
                <w:sz w:val="22"/>
                <w:szCs w:val="22"/>
                <w:lang w:val="en-GB" w:eastAsia="en-GB" w:bidi="en-GB"/>
              </w:rPr>
              <w:t xml:space="preserve">Data, MI &amp; Performance Insight</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Produce and review MI, dashboards, KPIs, and KRIs to monitor performance and identify trends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Use data-driven insights to inform decision-making, improve service delivery, and highlight risks or areas for intervention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r>
              <w:rPr>
                <w:b/>
                <w:bCs/>
                <w:sz w:val="22"/>
                <w:szCs w:val="22"/>
                <w:lang w:val="en-GB" w:eastAsia="en-GB" w:bidi="en-GB"/>
              </w:rPr>
              <w:t xml:space="preserve">Process Improvement &amp; Transformation</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Drive continuous improvement initiatives, including process optimisation and standardisation</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Identify and implement automation opportunities to improve efficiency and reduce manual intervention</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Champion the adoption and practical application of AI within the People function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r>
              <w:rPr>
                <w:b/>
                <w:bCs/>
                <w:sz w:val="22"/>
                <w:szCs w:val="22"/>
                <w:lang w:val="en-GB" w:eastAsia="en-GB" w:bidi="en-GB"/>
              </w:rPr>
              <w:t xml:space="preserve">Projects &amp; Strategic Support</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Support delivery of wider People projects aligned to the People Plan, including (but not limited to) Wellbeing, EDI initiatives, and Employee Voice programmes</w:t>
            </w: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sz w:val="22"/>
                <w:szCs w:val="22"/>
                <w:lang w:val="en-GB" w:eastAsia="en-GB" w:bidi="en-GB"/>
              </w:rPr>
            </w:pPr>
            <w:r>
              <w:rPr>
                <w:sz w:val="22"/>
                <w:szCs w:val="22"/>
                <w:lang w:val="en-GB" w:eastAsia="en-GB" w:bidi="en-GB"/>
              </w:rPr>
              <w:t xml:space="preserve">Contribute operational expertise to change initiatives, ensuring processes are scalable, efficient, and aligned to business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sz w:val="22"/>
                <w:szCs w:val="22"/>
                <w:lang w:val="en-US" w:eastAsia="en-US" w:bidi="en-US"/>
              </w:rPr>
            </w:pPr>
          </w:p>
        </w:tc>
      </w:tr>
      <w:tr>
        <w:trPr>
          <w:trHeight w:val="1431" w:hRule="atLeast"/>
        </w:trPr>
        <w:tc>
          <w:tcPr>
            <w:tcW w:w="138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r>
              <w:rPr>
                <w:b/>
                <w:bCs/>
                <w:sz w:val="22"/>
                <w:szCs w:val="22"/>
                <w:lang w:val="en-GB" w:eastAsia="en-GB" w:bidi="en-GB"/>
              </w:rPr>
              <w:t xml:space="preserve">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sz w:val="22"/>
                <w:szCs w:val="22"/>
                <w:lang w:val="en-GB" w:eastAsia="en-GB" w:bidi="en-GB"/>
              </w:rPr>
            </w:pPr>
          </w:p>
        </w:tc>
        <w:tc>
          <w:tcPr>
            <w:tcW w:w="964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i/>
                <w:i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i/>
                <w:iCs/>
                <w:sz w:val="22"/>
                <w:szCs w:val="22"/>
                <w:lang w:val="en-GB" w:eastAsia="en-GB" w:bidi="en-GB"/>
              </w:rPr>
            </w:pPr>
            <w:r>
              <w:rPr>
                <w:b/>
                <w:bCs/>
                <w:i/>
                <w:iCs/>
                <w:sz w:val="22"/>
                <w:szCs w:val="22"/>
                <w:lang w:val="en-GB" w:eastAsia="en-GB" w:bidi="en-GB"/>
              </w:rPr>
              <w:t xml:space="preserve">Skills/Knowledge/Experience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i/>
                <w:iCs/>
                <w:sz w:val="22"/>
                <w:szCs w:val="22"/>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2"/>
                <w:szCs w:val="22"/>
                <w:lang w:val="en-GB" w:eastAsia="en-GB" w:bidi="en-GB"/>
              </w:rPr>
            </w:pPr>
            <w:r>
              <w:rPr>
                <w:sz w:val="22"/>
                <w:szCs w:val="22"/>
                <w:lang w:val="en-GB" w:eastAsia="en-GB" w:bidi="en-GB"/>
              </w:rPr>
              <w:t xml:space="preserve">Proven experience in a People Operations / HR environment, with exposure to end-to-end employee lifecycle processes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2"/>
                <w:szCs w:val="22"/>
                <w:lang w:val="en-GB" w:eastAsia="en-GB" w:bidi="en-GB"/>
              </w:rPr>
            </w:pPr>
            <w:r>
              <w:rPr>
                <w:sz w:val="22"/>
                <w:szCs w:val="22"/>
                <w:lang w:val="en-GB" w:eastAsia="en-GB" w:bidi="en-GB"/>
              </w:rPr>
              <w:t xml:space="preserve">Experience of managing or overseeing employee relations activity, including complex case escalation and advisory support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2"/>
                <w:szCs w:val="22"/>
                <w:lang w:val="en-GB" w:eastAsia="en-GB" w:bidi="en-GB"/>
              </w:rPr>
            </w:pPr>
            <w:r>
              <w:rPr>
                <w:sz w:val="22"/>
                <w:szCs w:val="22"/>
                <w:lang w:val="en-GB" w:eastAsia="en-GB" w:bidi="en-GB"/>
              </w:rPr>
              <w:t xml:space="preserve">Experience working within a regulated or governance-led environment, with an understanding of risk, compliance, and audit requirements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2"/>
                <w:szCs w:val="22"/>
                <w:lang w:val="en-GB" w:eastAsia="en-GB" w:bidi="en-GB"/>
              </w:rPr>
            </w:pPr>
            <w:r>
              <w:rPr>
                <w:sz w:val="22"/>
                <w:szCs w:val="22"/>
                <w:lang w:val="en-GB" w:eastAsia="en-GB" w:bidi="en-GB"/>
              </w:rPr>
              <w:t xml:space="preserve">Experience producing and analysing MI, KPIs, and operational reporting to drive insight and performance</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2"/>
                <w:szCs w:val="22"/>
                <w:lang w:val="en-GB" w:eastAsia="en-GB" w:bidi="en-GB"/>
              </w:rPr>
            </w:pPr>
            <w:r>
              <w:rPr>
                <w:sz w:val="22"/>
                <w:szCs w:val="22"/>
                <w:lang w:val="en-GB" w:eastAsia="en-GB" w:bidi="en-GB"/>
              </w:rPr>
              <w:t xml:space="preserve">Sound knowledge of UK employment legislation and its practical application within employee relations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2"/>
                <w:szCs w:val="22"/>
                <w:lang w:val="en-GB" w:eastAsia="en-GB" w:bidi="en-GB"/>
              </w:rPr>
            </w:pPr>
            <w:r>
              <w:rPr>
                <w:sz w:val="22"/>
                <w:szCs w:val="22"/>
                <w:lang w:val="en-GB" w:eastAsia="en-GB" w:bidi="en-GB"/>
              </w:rPr>
              <w:t xml:space="preserve">Understanding of SMCR requirements and/or working within FCA-regulated frameworks (desirable)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2"/>
                <w:szCs w:val="22"/>
                <w:lang w:val="en-GB" w:eastAsia="en-GB" w:bidi="en-GB"/>
              </w:rPr>
            </w:pPr>
            <w:r>
              <w:rPr>
                <w:sz w:val="22"/>
                <w:szCs w:val="22"/>
                <w:lang w:val="en-GB" w:eastAsia="en-GB" w:bidi="en-GB"/>
              </w:rPr>
              <w:t xml:space="preserve">Knowledge of data protection requirements (GDPR) and handling sensitive employee data </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2"/>
                <w:szCs w:val="22"/>
                <w:lang w:val="en-GB" w:eastAsia="en-GB" w:bidi="en-GB"/>
              </w:rPr>
            </w:pPr>
            <w:r>
              <w:rPr>
                <w:sz w:val="22"/>
                <w:szCs w:val="22"/>
                <w:lang w:val="en-GB" w:eastAsia="en-GB" w:bidi="en-GB"/>
              </w:rPr>
              <w:t xml:space="preserve">Strong understanding of People systems, processes, and service delivery models</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2"/>
                <w:szCs w:val="22"/>
                <w:lang w:val="en-GB" w:eastAsia="en-GB" w:bidi="en-GB"/>
              </w:rPr>
            </w:pPr>
            <w:r>
              <w:rPr>
                <w:sz w:val="22"/>
                <w:szCs w:val="22"/>
                <w:lang w:val="en-GB" w:eastAsia="en-GB" w:bidi="en-GB"/>
              </w:rPr>
              <w:t xml:space="preserve">Strong stakeholder management skills, with the ability to coach, influence, and challenge managers constructively</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2"/>
                <w:szCs w:val="22"/>
                <w:lang w:val="en-GB" w:eastAsia="en-GB" w:bidi="en-GB"/>
              </w:rPr>
            </w:pPr>
            <w:r>
              <w:rPr>
                <w:sz w:val="22"/>
                <w:szCs w:val="22"/>
                <w:lang w:val="en-GB" w:eastAsia="en-GB" w:bidi="en-GB"/>
              </w:rPr>
              <w:t xml:space="preserve">Excellent organisational skills with the ability to manage competing priorities, meet deadlines, and maintain service standards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i/>
                <w:i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i/>
                <w:i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b/>
                <w:bCs/>
                <w:i/>
                <w:iCs/>
                <w:sz w:val="22"/>
                <w:szCs w:val="22"/>
                <w:lang w:val="en-GB" w:eastAsia="en-GB" w:bidi="en-GB"/>
              </w:rPr>
            </w:pPr>
            <w:r>
              <w:rPr>
                <w:b/>
                <w:bCs/>
                <w:i/>
                <w:iCs/>
                <w:sz w:val="22"/>
                <w:szCs w:val="22"/>
                <w:lang w:val="en-GB" w:eastAsia="en-GB" w:bidi="en-GB"/>
              </w:rPr>
              <w:t xml:space="preserve">Essential Behaviours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1A1A1A"/>
                <w:sz w:val="22"/>
                <w:szCs w:val="22"/>
                <w:lang w:val="en-GB" w:eastAsia="en-GB" w:bidi="en-GB"/>
              </w:rPr>
            </w:pPr>
            <w:r>
              <w:rPr>
                <w:color w:val="1A1A1A"/>
                <w:sz w:val="22"/>
                <w:szCs w:val="22"/>
                <w:lang w:val="en-GB" w:eastAsia="en-GB" w:bidi="en-GB"/>
              </w:rPr>
              <w:t xml:space="preserve">Risk Aware – It keeps our customers and ourselves safe and secure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1A1A1A"/>
                <w:sz w:val="22"/>
                <w:szCs w:val="22"/>
                <w:lang w:val="en-GB" w:eastAsia="en-GB" w:bidi="en-GB"/>
              </w:rPr>
            </w:pPr>
            <w:r>
              <w:rPr>
                <w:color w:val="1A1A1A"/>
                <w:sz w:val="22"/>
                <w:szCs w:val="22"/>
                <w:lang w:val="en-GB" w:eastAsia="en-GB" w:bidi="en-GB"/>
              </w:rPr>
              <w:t xml:space="preserve">Future Oriented – Embracing change and implementing good ideas gives us the competitive edge</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1A1A1A"/>
                <w:sz w:val="22"/>
                <w:szCs w:val="22"/>
                <w:lang w:val="en-GB" w:eastAsia="en-GB" w:bidi="en-GB"/>
              </w:rPr>
            </w:pPr>
            <w:r>
              <w:rPr>
                <w:color w:val="1A1A1A"/>
                <w:sz w:val="22"/>
                <w:szCs w:val="22"/>
                <w:lang w:val="en-GB" w:eastAsia="en-GB" w:bidi="en-GB"/>
              </w:rPr>
              <w:t xml:space="preserve">Team Oriented – We achieve more when we work well together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1A1A1A"/>
                <w:sz w:val="22"/>
                <w:szCs w:val="22"/>
                <w:lang w:val="en-GB" w:eastAsia="en-GB" w:bidi="en-GB"/>
              </w:rPr>
            </w:pPr>
            <w:r>
              <w:rPr>
                <w:color w:val="1A1A1A"/>
                <w:sz w:val="22"/>
                <w:szCs w:val="22"/>
                <w:lang w:val="en-GB" w:eastAsia="en-GB" w:bidi="en-GB"/>
              </w:rPr>
              <w:t xml:space="preserve">Ownership – Each of us need to take personal responsibility </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sz w:val="22"/>
                <w:szCs w:val="22"/>
                <w:lang w:val="en-GB" w:eastAsia="en-GB" w:bidi="en-GB"/>
              </w:rPr>
            </w:pPr>
            <w:r>
              <w:rPr>
                <w:color w:val="1A1A1A"/>
                <w:sz w:val="22"/>
                <w:szCs w:val="22"/>
                <w:lang w:val="en-GB" w:eastAsia="en-GB" w:bidi="en-GB"/>
              </w:rPr>
              <w:t xml:space="preserve">Performance Driven – We will only be the most trusted specialist lender in the UK by each of us taking personal accountability for our performance</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color w:val="1A1A1A"/>
                <w:sz w:val="22"/>
                <w:szCs w:val="22"/>
                <w:lang w:val="en-GB" w:eastAsia="en-GB" w:bidi="en-GB"/>
              </w:rPr>
            </w:pPr>
            <w:r>
              <w:rPr>
                <w:color w:val="1A1A1A"/>
                <w:sz w:val="22"/>
                <w:szCs w:val="22"/>
                <w:lang w:val="en-GB" w:eastAsia="en-GB" w:bidi="en-GB"/>
              </w:rPr>
              <w:t xml:space="preserve">Customer focused – Because they are at the heart of everything we do </w:t>
            </w:r>
          </w:p>
          <w:p>
            <w:pPr>
              <w:pStyle w:val="Normal"/>
              <w:tabs>
                <w:tab w:val="left" w:pos="268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sz w:val="22"/>
                <w:szCs w:val="22"/>
                <w:lang w:val="en-US" w:eastAsia="en-US" w:bidi="en-US"/>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2"/>
          <w:lang w:val="en-US" w:eastAsia="en-US" w:bidi="en-US"/>
        </w:rPr>
      </w:pPr>
    </w:p>
    <w:sectPr>
      <w:footerReference w:type="default" r:id="rId00007"/>
      <w:pgSz w:w="12240" w:h="15840"/>
      <w:pgMar w:top="426" w:right="1800" w:bottom="568" w:left="1800" w:header="720" w:footer="720"/>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4002EFF" w:usb1="C000247B" w:usb2="00000009" w:usb3="00000000" w:csb0="200001FF" w:csb1="00000000"/>
  </w:font>
  <w:font w:name="Cambria">
    <w:panose1 w:val="02040503050406030204"/>
    <w:charset w:val="00"/>
    <w:family w:val="roman"/>
    <w:pitch w:val="variable"/>
    <w:sig w:usb0="E00006FF" w:usb1="420024FF" w:usb2="02000000" w:usb3="00000000" w:csb0="2000019F" w:csb1="00000000"/>
  </w:font>
  <w:font w:name="Tahoma">
    <w:panose1 w:val="020B0604030504040204"/>
    <w:charset w:val="00"/>
    <w:family w:val="swiss"/>
    <w:pitch w:val="variable"/>
    <w:sig w:usb0="E1002EFF" w:usb1="C000605B" w:usb2="00000029" w:usb3="00000000" w:csb0="200101FF" w:csb1="20280000"/>
  </w:font>
  <w:font w:name="Courier New">
    <w:panose1 w:val="02070309020205020404"/>
    <w:charset w:val="00"/>
    <w:family w:val="modern"/>
    <w:pitch w:val="fixed"/>
    <w:sig w:usb0="E0002EFF" w:usb1="C0007843" w:usb2="00000009" w:usb3="00000000" w:csb0="400001FF" w:csb1="FFFF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right" w:pos="8640"/>
        <w:tab w:val="clear" w:pos="9026"/>
      </w:tabs>
      <w:rPr>
        <w:sz w:val="18"/>
        <w:szCs w:val="18"/>
        <w:lang w:val="en-US" w:eastAsia="en-US" w:bidi="en-US"/>
      </w:rPr>
    </w:pPr>
    <w:r>
      <w:pict>
        <v:shape id="Text Box 4" coordsize="21600,21600" o:spt="202" path="m,l,21600r21600,l21600,xe" fillcolor="#FFFFFF" stroked="f" strokeweight="0" style="width:34.95pt;height:34.95pt;position:absolute;margin-left:577.05pt;margin-top:757.05pt;z-index:251659264;mso-wrap-distance-right:0;mso-wrap-distance-left:0;mso-position-horizontal-relative:page;mso-position-vertical-relative:page;">
          <v:fill opacity="0"/>
          <v:stroke joinstyle="miter"/>
          <v:path gradientshapeok="t" o:connecttype="rect"/>
          <v:textbox inset="0pt,0pt,20pt,15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rPr>
                    <w:color w:val="FF0000"/>
                    <w:sz w:val="20"/>
                    <w:szCs w:val="20"/>
                    <w:lang w:val="en-US" w:eastAsia="en-US" w:bidi="en-US"/>
                  </w:rPr>
                </w:pPr>
              </w:p>
            </w:txbxContent>
          </v:textbox>
          <w10:wrap type="none"/>
        </v:shape>
      </w:pict>
    </w:r>
    <w:r>
      <w:rPr>
        <w:sz w:val="18"/>
        <w:szCs w:val="18"/>
        <w:lang w:val="en-US" w:eastAsia="en-US" w:bidi="en-US"/>
      </w:rPr>
      <w:t xml:space="preserve">People Operations LeadPage </w:t>
    </w:r>
    <w:r>
      <w:rPr>
        <w:b/>
        <w:bCs/>
        <w:noProof/>
        <w:sz w:val="18"/>
        <w:szCs w:val="18"/>
        <w:lang w:val="en-US" w:eastAsia="en-US" w:bidi="en-US"/>
      </w:rPr>
      <w:fldChar w:fldCharType="begin"/>
    </w:r>
    <w:r>
      <w:rPr>
        <w:b/>
        <w:bCs/>
        <w:noProof/>
        <w:sz w:val="18"/>
        <w:szCs w:val="18"/>
        <w:lang w:val="en-US" w:eastAsia="en-US" w:bidi="en-US"/>
      </w:rPr>
      <w:instrText xml:space="preserve"> PAGE \* Arabic \* MERGEFORMAT </w:instrText>
    </w:r>
    <w:r>
      <w:rPr>
        <w:b/>
        <w:bCs/>
        <w:noProof/>
        <w:sz w:val="18"/>
        <w:szCs w:val="18"/>
        <w:lang w:val="en-US" w:eastAsia="en-US" w:bidi="en-US"/>
      </w:rPr>
      <w:fldChar w:fldCharType="separate"/>
    </w:r>
    <w:r>
      <w:rPr>
        <w:sz w:val="18"/>
        <w:szCs w:val="18"/>
        <w:lang w:val="en-US" w:eastAsia="en-US" w:bidi="en-US"/>
      </w:rPr>
      <w:fldChar w:fldCharType="end"/>
    </w:r>
    <w:r>
      <w:rPr>
        <w:sz w:val="18"/>
        <w:szCs w:val="18"/>
        <w:lang w:val="en-US" w:eastAsia="en-US" w:bidi="en-US"/>
      </w:rPr>
      <w:t xml:space="preserve"> of </w:t>
    </w:r>
    <w:r>
      <w:rPr>
        <w:b/>
        <w:bCs/>
        <w:noProof/>
        <w:sz w:val="18"/>
        <w:szCs w:val="18"/>
        <w:lang w:val="en-US" w:eastAsia="en-US" w:bidi="en-US"/>
      </w:rPr>
      <w:fldChar w:fldCharType="begin"/>
    </w:r>
    <w:r>
      <w:rPr>
        <w:b/>
        <w:bCs/>
        <w:noProof/>
        <w:sz w:val="18"/>
        <w:szCs w:val="18"/>
        <w:lang w:val="en-US" w:eastAsia="en-US" w:bidi="en-US"/>
      </w:rPr>
      <w:instrText xml:space="preserve"> NUMPAGES \* Arabic \* MERGEFORMAT </w:instrText>
    </w:r>
    <w:r>
      <w:rPr>
        <w:b/>
        <w:bCs/>
        <w:noProof/>
        <w:sz w:val="18"/>
        <w:szCs w:val="18"/>
        <w:lang w:val="en-US" w:eastAsia="en-US" w:bidi="en-US"/>
      </w:rPr>
      <w:fldChar w:fldCharType="separate"/>
    </w:r>
    <w:r>
      <w:rPr>
        <w:sz w:val="18"/>
        <w:szCs w:val="18"/>
        <w:lang w:val="en-US" w:eastAsia="en-US" w:bidi="en-US"/>
      </w:rPr>
      <w:fldChar w:fldCharType="end"/>
    </w:r>
    <w:r>
      <w:rPr>
        <w:sz w:val="18"/>
        <w:szCs w:val="18"/>
        <w:lang w:val="en-US" w:eastAsia="en-US" w:bidi="en-US"/>
      </w:rPr>
      <w:t xml:space="preserve">June 2026</w:t>
    </w:r>
  </w:p>
</w:ftr>
</file>

<file path=word/numbering.xml><?xml version="1.0" encoding="utf-8"?>
<w:numbering xmlns:w="http://schemas.openxmlformats.org/wordprocessingml/2006/main">
  <w:abstractNum w:abstractNumId="0">
    <w:multiLevelType w:val="multi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0"/>
        <w:u w:val="none"/>
        <w:shd w:val="clear" w:color="auto" w:fill="auto"/>
      </w:rPr>
    </w:lvl>
    <w:lvl w:ilvl="1">
      <w:start w:val="1"/>
      <w:numFmt w:val="bullet"/>
      <w:suff w:val="tab"/>
      <w:lvlText w:val="o"/>
      <w:pPr>
        <w:ind w:left="1440" w:hanging="360"/>
        <w:tabs>
          <w:tab w:val="num" w:pos="1440"/>
        </w:tabs>
      </w:pPr>
      <w:rPr>
        <w:rFonts w:hint="default" w:ascii="Courier New" w:hAnsi="Courier New" w:eastAsia="Courier New" w:cs="Courier New"/>
        <w:b w:val="off"/>
        <w:i w:val="off"/>
        <w:strike w:val="off"/>
        <w:color w:val="auto"/>
        <w:position w:val="0"/>
        <w:sz w:val="20"/>
        <w:u w:val="none"/>
        <w:shd w:val="clear" w:color="auto" w:fill="auto"/>
      </w:rPr>
    </w:lvl>
    <w:lvl w:ilvl="2">
      <w:start w:val="1"/>
      <w:numFmt w:val="bullet"/>
      <w:suff w:val="tab"/>
      <w:lvlText w:val=""/>
      <w:pPr>
        <w:ind w:left="1080" w:hanging="360"/>
        <w:tabs>
          <w:tab w:val="num" w:pos="1080"/>
        </w:tabs>
      </w:pPr>
    </w:lvl>
    <w:lvl w:ilvl="3">
      <w:start w:val="1"/>
      <w:numFmt w:val="bullet"/>
      <w:suff w:val="tab"/>
      <w:lvlText w:val=""/>
      <w:pPr>
        <w:ind w:left="1440" w:hanging="360"/>
        <w:tabs>
          <w:tab w:val="num" w:pos="1440"/>
        </w:tabs>
      </w:pPr>
    </w:lvl>
    <w:lvl w:ilvl="4">
      <w:start w:val="1"/>
      <w:numFmt w:val="bullet"/>
      <w:suff w:val="tab"/>
      <w:lvlText w:val=""/>
      <w:pPr>
        <w:ind w:left="1800" w:hanging="360"/>
        <w:tabs>
          <w:tab w:val="num" w:pos="1800"/>
        </w:tabs>
      </w:pPr>
    </w:lvl>
    <w:lvl w:ilvl="5">
      <w:start w:val="1"/>
      <w:numFmt w:val="bullet"/>
      <w:suff w:val="tab"/>
      <w:lvlText w:val=""/>
      <w:pPr>
        <w:ind w:left="2160" w:hanging="360"/>
        <w:tabs>
          <w:tab w:val="num" w:pos="2160"/>
        </w:tabs>
      </w:pPr>
    </w:lvl>
    <w:lvl w:ilvl="6">
      <w:start w:val="1"/>
      <w:numFmt w:val="bullet"/>
      <w:suff w:val="tab"/>
      <w:lvlText w:val=""/>
      <w:pPr>
        <w:ind w:left="2520" w:hanging="360"/>
        <w:tabs>
          <w:tab w:val="num" w:pos="2520"/>
        </w:tabs>
      </w:pPr>
    </w:lvl>
    <w:lvl w:ilvl="7">
      <w:start w:val="1"/>
      <w:numFmt w:val="bullet"/>
      <w:suff w:val="tab"/>
      <w:lvlText w:val=""/>
      <w:pPr>
        <w:ind w:left="2880" w:hanging="360"/>
        <w:tabs>
          <w:tab w:val="num" w:pos="2880"/>
        </w:tabs>
      </w:pPr>
    </w:lvl>
    <w:lvl w:ilvl="8">
      <w:start w:val="1"/>
      <w:numFmt w:val="bullet"/>
      <w:suff w:val="tab"/>
      <w:lvlText w:val=""/>
      <w:pPr>
        <w:ind w:left="3240" w:hanging="360"/>
        <w:tabs>
          <w:tab w:val="num" w:pos="3240"/>
        </w:tabs>
      </w:p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1A1A1A"/>
        <w:position w:val="0"/>
        <w:sz w:val="22"/>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200" w:line="276"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4"/>
      <w:szCs w:val="24"/>
      <w:shd w:val="clear" w:color="auto" w:fill="auto"/>
      <w:vertAlign w:val="baseline"/>
      <w:rtl w:val="off"/>
      <w:lang w:val="en-US" w:eastAsia="en-US" w:bidi="en-US"/>
    </w:rPr>
  </w:style>
  <w:style w:type="paragraph" w:styleId="Footer">
    <w:name w:val="footer"/>
    <w:basedOn w:val="Normal"/>
    <w:next w:val="Footer"/>
    <w:qFormat/>
    <w:pPr>
      <w:tabs>
        <w:tab w:val="center" w:pos="4513"/>
        <w:tab w:val="right" w:pos="9026"/>
      </w:tabs>
      <w:spacing w:after="0" w:line="240" w:lineRule="auto"/>
    </w:pPr>
    <w:rPr>
      <w:lang w:val="en-US" w:eastAsia="en-US" w:bidi="en-US"/>
    </w:rPr>
  </w:style>
  <w:style w:type="paragraph" w:styleId="Heading1">
    <w:name w:val="heading 1"/>
    <w:basedOn w:val="Normal"/>
    <w:next w:val="Heading1"/>
    <w:qFormat/>
    <w:pPr>
      <w:spacing w:after="0" w:line="240" w:lineRule="auto"/>
      <w:outlineLvl w:val="0"/>
    </w:pPr>
    <w:rPr>
      <w:rFonts w:ascii="Times New Roman" w:hAnsi="Times New Roman" w:eastAsia="Times New Roman" w:cs="Times New Roman"/>
      <w:lang w:val="en-GB" w:eastAsia="en-GB" w:bidi="en-GB"/>
    </w:rPr>
  </w:style>
  <w:style w:type="paragraph" w:styleId="Heading2">
    <w:name w:val="heading 2"/>
    <w:basedOn w:val="Normal"/>
    <w:next w:val="Normal"/>
    <w:qFormat/>
    <w:pPr>
      <w:keepNext/>
      <w:keepLines/>
      <w:spacing w:before="200" w:after="0"/>
      <w:outlineLvl w:val="1"/>
    </w:pPr>
    <w:rPr>
      <w:rFonts w:ascii="Cambria" w:hAnsi="Cambria" w:eastAsia="Cambria" w:cs="Cambria"/>
      <w:b/>
      <w:bCs/>
      <w:color w:val="4F81BD"/>
      <w:sz w:val="26"/>
      <w:szCs w:val="26"/>
      <w:lang w:val="en-US" w:eastAsia="en-US" w:bidi="en-US"/>
    </w:rPr>
  </w:style>
  <w:style w:type="paragraph" w:styleId="Heading3">
    <w:name w:val="heading 3"/>
    <w:basedOn w:val="Normal"/>
    <w:next w:val="Normal"/>
    <w:qFormat/>
    <w:pPr>
      <w:keepNext/>
      <w:keepLines/>
      <w:spacing w:before="40" w:after="0"/>
      <w:outlineLvl w:val="2"/>
    </w:pPr>
    <w:rPr>
      <w:rFonts w:ascii="Cambria" w:hAnsi="Cambria" w:eastAsia="Cambria" w:cs="Cambria"/>
      <w:color w:val="243F61"/>
      <w:lang w:val="en-US" w:eastAsia="en-US" w:bidi="en-US"/>
    </w:rPr>
  </w:style>
  <w:style w:type="paragraph" w:styleId="ListParagraph">
    <w:name w:val="List Paragraph"/>
    <w:basedOn w:val="Normal"/>
    <w:next w:val="ListParagraph"/>
    <w:qFormat/>
    <w:pPr>
      <w:spacing w:after="0" w:line="240" w:lineRule="auto"/>
      <w:ind w:left="720"/>
    </w:pPr>
    <w:rPr>
      <w:sz w:val="20"/>
      <w:szCs w:val="20"/>
      <w:lang w:val="en-GB" w:eastAsia="en-GB" w:bidi="en-GB"/>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sz w:val="20"/>
      <w:szCs w:val="20"/>
      <w:lang w:val="en-US" w:eastAsia="en-US" w:bidi="en-US"/>
    </w:rPr>
  </w:style>
  <w:style w:type="paragraph" w:styleId="CommentSubject">
    <w:name w:val="annotation subject"/>
    <w:basedOn w:val="CommentText"/>
    <w:next w:val="CommentText"/>
    <w:qFormat/>
    <w:pPr/>
    <w:rPr>
      <w:b/>
      <w:bCs/>
      <w:lang w:val="en-US" w:eastAsia="en-US" w:bidi="en-US"/>
    </w:rPr>
  </w:style>
  <w:style w:type="character" w:styleId="Comment Text Char" w:customStyle="1">
    <w:name w:val="Comment Text Char"/>
    <w:qFormat/>
    <w:rPr>
      <w:rtl w:val="off"/>
      <w:lang w:val="en-US" w:eastAsia="en-US" w:bidi="en-US"/>
    </w:rPr>
  </w:style>
  <w:style w:type="character" w:styleId="Comment Subject Char" w:customStyle="1">
    <w:name w:val="Comment Subject Char"/>
    <w:basedOn w:val="Comment Text Char"/>
    <w:qFormat/>
    <w:rPr>
      <w:b/>
      <w:bCs/>
      <w:lang w:val="en-US" w:eastAsia="en-US" w:bidi="en-US"/>
    </w:rPr>
  </w:style>
  <w:style w:type="paragraph" w:styleId="BalloonText">
    <w:name w:val="Balloon Text"/>
    <w:basedOn w:val="Normal"/>
    <w:next w:val="BalloonText"/>
    <w:qFormat/>
    <w:pPr>
      <w:spacing w:after="0" w:line="240" w:lineRule="auto"/>
    </w:pPr>
    <w:rPr>
      <w:rFonts w:ascii="Tahoma" w:hAnsi="Tahoma" w:eastAsia="Tahoma" w:cs="Tahoma"/>
      <w:sz w:val="16"/>
      <w:szCs w:val="16"/>
      <w:lang w:val="en-US" w:eastAsia="en-US" w:bidi="en-US"/>
    </w:rPr>
  </w:style>
  <w:style w:type="character" w:styleId="Balloon Text Char" w:customStyle="1">
    <w:name w:val="Balloon Text Char"/>
    <w:qFormat/>
    <w:rPr>
      <w:rFonts w:ascii="Tahoma" w:hAnsi="Tahoma" w:eastAsia="Tahoma" w:cs="Tahoma"/>
      <w:sz w:val="16"/>
      <w:szCs w:val="16"/>
      <w:rtl w:val="off"/>
      <w:lang w:val="en-US" w:eastAsia="en-US" w:bidi="en-US"/>
    </w:rPr>
  </w:style>
  <w:style w:type="character" w:styleId="Heading 1 Char" w:customStyle="1">
    <w:name w:val="Heading 1 Char"/>
    <w:qFormat/>
    <w:rPr>
      <w:rFonts w:ascii="Times New Roman" w:hAnsi="Times New Roman" w:eastAsia="Times New Roman" w:cs="Times New Roman"/>
      <w:sz w:val="24"/>
      <w:szCs w:val="24"/>
      <w:rtl w:val="off"/>
    </w:rPr>
  </w:style>
  <w:style w:type="character" w:styleId="Strong">
    <w:name w:val="Strong"/>
    <w:qFormat/>
    <w:rPr>
      <w:b/>
      <w:bCs/>
      <w:i w:val="off"/>
      <w:iCs w:val="off"/>
      <w:rtl w:val="off"/>
    </w:rPr>
  </w:style>
  <w:style w:type="paragraph" w:styleId="NormalWeb">
    <w:name w:val="Normal (Web)"/>
    <w:basedOn w:val="Normal"/>
    <w:next w:val="NormalWeb"/>
    <w:qFormat/>
    <w:pPr>
      <w:spacing w:after="0" w:line="240" w:lineRule="auto"/>
    </w:pPr>
    <w:rPr>
      <w:rFonts w:ascii="Times New Roman" w:hAnsi="Times New Roman" w:eastAsia="Times New Roman" w:cs="Times New Roman"/>
      <w:lang w:val="en-GB" w:eastAsia="en-GB" w:bidi="en-GB"/>
    </w:rPr>
  </w:style>
  <w:style w:type="character" w:styleId="Heading 2 Char" w:customStyle="1">
    <w:name w:val="Heading 2 Char"/>
    <w:qFormat/>
    <w:rPr>
      <w:rFonts w:ascii="Cambria" w:hAnsi="Cambria" w:eastAsia="Cambria" w:cs="Cambria"/>
      <w:b/>
      <w:bCs/>
      <w:color w:val="4F81BD"/>
      <w:sz w:val="26"/>
      <w:szCs w:val="26"/>
      <w:rtl w:val="off"/>
      <w:lang w:val="en-US" w:eastAsia="en-US" w:bidi="en-US"/>
    </w:rPr>
  </w:style>
  <w:style w:type="paragraph" w:styleId="Main text" w:customStyle="1">
    <w:name w:val="Main text"/>
    <w:basedOn w:val="Normal"/>
    <w:next w:val="Main text"/>
    <w:qFormat/>
    <w:pPr>
      <w:spacing w:after="120" w:line="240" w:lineRule="auto"/>
      <w:jc w:val="both"/>
    </w:pPr>
    <w:rPr>
      <w:rFonts w:ascii="Times New Roman" w:hAnsi="Times New Roman" w:eastAsia="Times New Roman" w:cs="Times New Roman"/>
      <w:lang w:val="en-GB" w:eastAsia="en-GB" w:bidi="en-GB"/>
    </w:rPr>
  </w:style>
  <w:style w:type="character" w:styleId="Hyperlink">
    <w:name w:val="Hyperlink"/>
    <w:qFormat/>
    <w:rPr>
      <w:strike w:val="off"/>
      <w:color w:val="777779"/>
      <w:rtl w:val="off"/>
    </w:rPr>
  </w:style>
  <w:style w:type="paragraph" w:styleId="Header">
    <w:name w:val="header"/>
    <w:basedOn w:val="Normal"/>
    <w:next w:val="Header"/>
    <w:qFormat/>
    <w:pPr>
      <w:tabs>
        <w:tab w:val="center" w:pos="4153"/>
        <w:tab w:val="right" w:pos="8306"/>
      </w:tabs>
      <w:spacing w:after="0" w:line="240" w:lineRule="auto"/>
    </w:pPr>
    <w:rPr>
      <w:rFonts w:ascii="Times New Roman" w:hAnsi="Times New Roman" w:eastAsia="Times New Roman" w:cs="Times New Roman"/>
      <w:sz w:val="20"/>
      <w:szCs w:val="20"/>
      <w:lang w:val="en-GB" w:eastAsia="en-GB" w:bidi="en-GB"/>
    </w:rPr>
  </w:style>
  <w:style w:type="character" w:styleId="Header Char" w:customStyle="1">
    <w:name w:val="Header Char"/>
    <w:qFormat/>
    <w:rPr>
      <w:rFonts w:ascii="Times New Roman" w:hAnsi="Times New Roman" w:eastAsia="Times New Roman" w:cs="Times New Roman"/>
      <w:rtl w:val="off"/>
      <w:lang w:val="en-GB" w:eastAsia="en-GB" w:bidi="en-GB"/>
    </w:rPr>
  </w:style>
  <w:style w:type="character" w:styleId="Footer Char" w:customStyle="1">
    <w:name w:val="Footer Char"/>
    <w:qFormat/>
    <w:rPr>
      <w:sz w:val="24"/>
      <w:szCs w:val="24"/>
      <w:rtl w:val="off"/>
      <w:lang w:val="en-US" w:eastAsia="en-US" w:bidi="en-US"/>
    </w:rPr>
  </w:style>
  <w:style w:type="character" w:styleId="Heading 3 Char" w:customStyle="1">
    <w:name w:val="Heading 3 Char"/>
    <w:qFormat/>
    <w:rPr>
      <w:rFonts w:ascii="Cambria" w:hAnsi="Cambria" w:eastAsia="Cambria" w:cs="Cambria"/>
      <w:color w:val="243F61"/>
      <w:sz w:val="24"/>
      <w:szCs w:val="24"/>
      <w:rtl w:val="off"/>
      <w:lang w:val="en-US" w:eastAsia="en-US" w:bidi="en-US"/>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4"/>
      <w:szCs w:val="24"/>
      <w:lang w:val="en-US" w:eastAsia="en-US" w:bidi="en-US"/>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7" Type="http://schemas.openxmlformats.org/officeDocument/2006/relationships/footer" Target="footer0001.xml"/>
	<Relationship Id="rId00006" Type="http://schemas.openxmlformats.org/officeDocument/2006/relationships/image" Target="media/image0001.png"/>
	<Relationship Id="rId00008" Type="http://schemas.openxmlformats.org/officeDocument/2006/relationships/numbering" Target="numbering.xml"/>
	<Relationship Id="rId00009" Type="http://schemas.openxmlformats.org/officeDocument/2006/relationships/fontTable" Target="fontTable.xml"/>
	<Relationship Id="rId000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STB Group Role Profile Template</dc:title>
  <dc:creator>benbows</dc:creator>
  <dcterms:created xsi:type="dcterms:W3CDTF">2026-06-29T09:47:00Z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0x0101002819590B0384B34699E14FB78C47D9F4</vt:lpwstr>
  </property>
  <property fmtid="{D5CDD505-2E9C-101B-9397-08002B2CF9AE}" pid="3" name="MSIP_Label_ef6327e6-fc0e-4760-99e5-056f7efd02ce_SiteId">
    <vt:lpwstr>f22a49a4-3b88-46d2-951c-591470e3149b</vt:lpwstr>
  </property>
  <property fmtid="{D5CDD505-2E9C-101B-9397-08002B2CF9AE}" pid="4" name="ClassificationContentMarkingFooterFontProps">
    <vt:lpwstr>#ff0000,10,Calibri</vt:lpwstr>
  </property>
  <property fmtid="{D5CDD505-2E9C-101B-9397-08002B2CF9AE}" pid="5" name="MSIP_Label_ef6327e6-fc0e-4760-99e5-056f7efd02ce_Name">
    <vt:lpwstr>Company Confidential</vt:lpwstr>
  </property>
  <property fmtid="{D5CDD505-2E9C-101B-9397-08002B2CF9AE}" pid="6" name="MSIP_Label_ef6327e6-fc0e-4760-99e5-056f7efd02ce_SetDate">
    <vt:lpwstr>2023-09-04T11:13:30Z</vt:lpwstr>
  </property>
  <property fmtid="{D5CDD505-2E9C-101B-9397-08002B2CF9AE}" pid="7" name="ClassificationContentMarkingFooterShapeIds">
    <vt:lpwstr>1,3,4</vt:lpwstr>
  </property>
  <property fmtid="{D5CDD505-2E9C-101B-9397-08002B2CF9AE}" pid="8" name="ClassificationContentMarkingFooterText">
    <vt:lpwstr>Company Confidential</vt:lpwstr>
  </property>
  <property fmtid="{D5CDD505-2E9C-101B-9397-08002B2CF9AE}" pid="9" name="MSIP_Label_ef6327e6-fc0e-4760-99e5-056f7efd02ce_Method">
    <vt:lpwstr>Standard</vt:lpwstr>
  </property>
  <property fmtid="{D5CDD505-2E9C-101B-9397-08002B2CF9AE}" pid="10" name="MSIP_Label_ef6327e6-fc0e-4760-99e5-056f7efd02ce_ActionId">
    <vt:lpwstr>83b089e2-05e8-4025-8f63-e00a27e08d7c</vt:lpwstr>
  </property>
  <property fmtid="{D5CDD505-2E9C-101B-9397-08002B2CF9AE}" pid="11" name="MSIP_Label_ef6327e6-fc0e-4760-99e5-056f7efd02ce_ContentBits">
    <vt:lpwstr>2</vt:lpwstr>
  </property>
  <property fmtid="{D5CDD505-2E9C-101B-9397-08002B2CF9AE}" pid="12" name="MSIP_Label_ef6327e6-fc0e-4760-99e5-056f7efd02ce_Enabled">
    <vt:lpwstr>true</vt:lpwstr>
  </property>
</Properties>
</file>